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__________________________________________________</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FORM 10-Q </w:t>
      </w:r>
    </w:p>
    <w:tbl>
      <w:tblPr>
        <w:tblW w:w="1004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quarterly period ended June 30, 2026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1001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Commission file number 001-34819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2861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86125" cy="6953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991" w:type="dxa"/>
        <w:jc w:val="center"/>
        <w:tblInd w:w="0" w:type="dxa"/>
        <w:tblLayout w:type="fixed"/>
        <w:tblCellMar>
          <w:top w:w="28" w:type="dxa"/>
          <w:left w:w="28" w:type="dxa"/>
          <w:bottom w:w="28" w:type="dxa"/>
          <w:right w:w="28" w:type="dxa"/>
        </w:tblCellMar>
      </w:tblPr>
      <w:tblGrid>
        <w:gridCol w:w="1756"/>
        <w:gridCol w:w="1542"/>
        <w:gridCol w:w="1562"/>
        <w:gridCol w:w="109"/>
        <w:gridCol w:w="109"/>
        <w:gridCol w:w="109"/>
        <w:gridCol w:w="818"/>
        <w:gridCol w:w="818"/>
        <w:gridCol w:w="1168"/>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95-4766827</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(IRS Employer Identification No.)</w:t>
            </w:r>
          </w:p>
        </w:tc>
      </w:tr>
    </w:tbl>
    <w:p>
      <w:pPr>
        <w:pStyle w:val="TextBody"/>
        <w:bidi w:val="0"/>
        <w:spacing w:before="0" w:after="0"/>
        <w:jc w:val="center"/>
        <w:rPr/>
      </w:pPr>
      <w:r>
        <w:rPr/>
      </w:r>
    </w:p>
    <w:tbl>
      <w:tblPr>
        <w:tblW w:w="9630" w:type="dxa"/>
        <w:jc w:val="center"/>
        <w:tblInd w:w="0" w:type="dxa"/>
        <w:tblLayout w:type="fixed"/>
        <w:tblCellMar>
          <w:top w:w="28" w:type="dxa"/>
          <w:left w:w="28" w:type="dxa"/>
          <w:bottom w:w="28" w:type="dxa"/>
          <w:right w:w="28" w:type="dxa"/>
        </w:tblCellMar>
      </w:tblPr>
      <w:tblGrid>
        <w:gridCol w:w="133"/>
        <w:gridCol w:w="116"/>
        <w:gridCol w:w="116"/>
        <w:gridCol w:w="457"/>
        <w:gridCol w:w="457"/>
        <w:gridCol w:w="457"/>
        <w:gridCol w:w="457"/>
        <w:gridCol w:w="457"/>
        <w:gridCol w:w="457"/>
        <w:gridCol w:w="457"/>
        <w:gridCol w:w="457"/>
        <w:gridCol w:w="457"/>
        <w:gridCol w:w="116"/>
        <w:gridCol w:w="116"/>
        <w:gridCol w:w="116"/>
        <w:gridCol w:w="109"/>
        <w:gridCol w:w="109"/>
        <w:gridCol w:w="109"/>
        <w:gridCol w:w="228"/>
        <w:gridCol w:w="228"/>
        <w:gridCol w:w="228"/>
        <w:gridCol w:w="375"/>
        <w:gridCol w:w="375"/>
        <w:gridCol w:w="379"/>
        <w:gridCol w:w="627"/>
        <w:gridCol w:w="627"/>
        <w:gridCol w:w="631"/>
        <w:gridCol w:w="228"/>
        <w:gridCol w:w="228"/>
        <w:gridCol w:w="323"/>
      </w:tblGrid>
      <w:tr>
        <w:trPr/>
        <w:tc>
          <w:tcPr>
            <w:tcW w:w="1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1675 N. Freedom Blvd (200 West) Building 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Provo,</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Utah</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84604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(626)</w:t>
            </w:r>
          </w:p>
        </w:tc>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765-2000</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(Registrant's telephone number, including area code)</w:t>
            </w:r>
          </w:p>
        </w:tc>
      </w:tr>
    </w:tbl>
    <w:p>
      <w:pPr>
        <w:pStyle w:val="TextBody"/>
        <w:bidi w:val="0"/>
        <w:spacing w:before="0" w:after="0"/>
        <w:jc w:val="center"/>
        <w:rPr/>
      </w:pPr>
      <w:r>
        <w:rPr/>
      </w:r>
    </w:p>
    <w:tbl>
      <w:tblPr>
        <w:tblW w:w="9240" w:type="dxa"/>
        <w:jc w:val="center"/>
        <w:tblInd w:w="0" w:type="dxa"/>
        <w:tblLayout w:type="fixed"/>
        <w:tblCellMar>
          <w:top w:w="28" w:type="dxa"/>
          <w:left w:w="28" w:type="dxa"/>
          <w:bottom w:w="28" w:type="dxa"/>
          <w:right w:w="28" w:type="dxa"/>
        </w:tblCellMar>
      </w:tblPr>
      <w:tblGrid>
        <w:gridCol w:w="1272"/>
        <w:gridCol w:w="1119"/>
        <w:gridCol w:w="1119"/>
        <w:gridCol w:w="575"/>
        <w:gridCol w:w="575"/>
        <w:gridCol w:w="575"/>
        <w:gridCol w:w="1172"/>
        <w:gridCol w:w="1172"/>
        <w:gridCol w:w="1661"/>
      </w:tblGrid>
      <w:tr>
        <w:trPr/>
        <w:tc>
          <w:tcPr>
            <w:tcW w:w="127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9240" w:type="dxa"/>
            <w:gridSpan w:val="9"/>
            <w:tcBorders/>
            <w:tcMar>
              <w:top w:w="0" w:type="dxa"/>
              <w:left w:w="0" w:type="dxa"/>
              <w:bottom w:w="0" w:type="dxa"/>
              <w:right w:w="0" w:type="dxa"/>
            </w:tcMar>
            <w:vAlign w:val="center"/>
          </w:tcPr>
          <w:p>
            <w:pPr>
              <w:pStyle w:val="TableContents"/>
              <w:bidi w:val="0"/>
              <w:spacing w:lineRule="auto" w:line="240" w:before="120" w:after="120"/>
              <w:jc w:val="center"/>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35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72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40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1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w:t>
            </w:r>
          </w:p>
        </w:tc>
        <w:tc>
          <w:tcPr>
            <w:tcW w:w="172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GDOT</w:t>
            </w:r>
          </w:p>
        </w:tc>
        <w:tc>
          <w:tcPr>
            <w:tcW w:w="40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80" w:after="180"/>
        <w:jc w:val="both"/>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80" w:after="180"/>
        <w:jc w:val="both"/>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45" w:type="dxa"/>
        <w:jc w:val="center"/>
        <w:tblInd w:w="0" w:type="dxa"/>
        <w:tblLayout w:type="fixed"/>
        <w:tblCellMar>
          <w:top w:w="28" w:type="dxa"/>
          <w:left w:w="28" w:type="dxa"/>
          <w:bottom w:w="28" w:type="dxa"/>
          <w:right w:w="28" w:type="dxa"/>
        </w:tblCellMar>
      </w:tblPr>
      <w:tblGrid>
        <w:gridCol w:w="835"/>
        <w:gridCol w:w="735"/>
        <w:gridCol w:w="739"/>
        <w:gridCol w:w="109"/>
        <w:gridCol w:w="109"/>
        <w:gridCol w:w="109"/>
        <w:gridCol w:w="109"/>
        <w:gridCol w:w="109"/>
        <w:gridCol w:w="109"/>
        <w:gridCol w:w="769"/>
        <w:gridCol w:w="769"/>
        <w:gridCol w:w="772"/>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80" w:after="180"/>
        <w:jc w:val="both"/>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There were 56,985,179 shares of Class A common stock outstanding, par value $0.001 per share as of July 31,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91"/>
        <w:gridCol w:w="255"/>
        <w:gridCol w:w="258"/>
        <w:gridCol w:w="2926"/>
        <w:gridCol w:w="2926"/>
        <w:gridCol w:w="2931"/>
        <w:gridCol w:w="180"/>
        <w:gridCol w:w="180"/>
        <w:gridCol w:w="258"/>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0">
              <w:r>
                <w:rPr>
                  <w:rStyle w:val="InternetLink"/>
                  <w:rFonts w:ascii="Arial;sans-serif" w:hAnsi="Arial;sans-serif"/>
                  <w:b/>
                  <w:strike w:val="false"/>
                  <w:dstrike w:val="false"/>
                  <w:color w:val="0000FF"/>
                  <w:sz w:val="20"/>
                  <w:u w:val="none"/>
                  <w:effect w:val="none"/>
                </w:rPr>
                <w:t>PART I – FINANCIAL INFORMATION</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1.</w:t>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2abe83ae2c468bba96d6952951b314_13">
              <w:r>
                <w:rPr>
                  <w:rStyle w:val="InternetLink"/>
                  <w:rFonts w:ascii="Arial;sans-serif" w:hAnsi="Arial;sans-serif"/>
                  <w:b w:val="false"/>
                  <w:strike w:val="false"/>
                  <w:dstrike w:val="false"/>
                  <w:color w:val="0000FF"/>
                  <w:sz w:val="20"/>
                  <w:u w:val="none"/>
                  <w:effect w:val="none"/>
                </w:rPr>
                <w:t>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3">
              <w:r>
                <w:rPr>
                  <w:rStyle w:val="InternetLink"/>
                  <w:rFonts w:ascii="Arial;sans-serif" w:hAnsi="Arial;sans-serif"/>
                  <w:b w:val="false"/>
                  <w:strike w:val="false"/>
                  <w:dstrike w:val="false"/>
                  <w:color w:val="0000FF"/>
                  <w:sz w:val="20"/>
                  <w:u w:val="none"/>
                  <w:effect w:val="none"/>
                </w:rPr>
                <w:t>1</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6">
              <w:r>
                <w:rPr>
                  <w:rStyle w:val="InternetLink"/>
                  <w:rFonts w:ascii="Arial;sans-serif" w:hAnsi="Arial;sans-serif"/>
                  <w:b w:val="false"/>
                  <w:strike w:val="false"/>
                  <w:dstrike w:val="false"/>
                  <w:color w:val="0000FF"/>
                  <w:sz w:val="20"/>
                  <w:u w:val="none"/>
                  <w:effect w:val="none"/>
                </w:rPr>
                <w:t>Consolidated Balance Sheets – June 30, 2026 and December 31,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6">
              <w:r>
                <w:rPr>
                  <w:rStyle w:val="InternetLink"/>
                  <w:rFonts w:ascii="Arial;sans-serif" w:hAnsi="Arial;sans-serif"/>
                  <w:b w:val="false"/>
                  <w:strike w:val="false"/>
                  <w:dstrike w:val="false"/>
                  <w:color w:val="0000FF"/>
                  <w:sz w:val="20"/>
                  <w:u w:val="none"/>
                  <w:effect w:val="none"/>
                </w:rPr>
                <w:t>1</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9">
              <w:r>
                <w:rPr>
                  <w:rStyle w:val="InternetLink"/>
                  <w:rFonts w:ascii="Arial;sans-serif" w:hAnsi="Arial;sans-serif"/>
                  <w:b w:val="false"/>
                  <w:strike w:val="false"/>
                  <w:dstrike w:val="false"/>
                  <w:color w:val="0000FF"/>
                  <w:sz w:val="20"/>
                  <w:u w:val="none"/>
                  <w:effect w:val="none"/>
                </w:rPr>
                <w:t>Consolidated Statements of Operations – Three and Six Months Ended June 30, 2026 and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9">
              <w:r>
                <w:rPr>
                  <w:rStyle w:val="InternetLink"/>
                  <w:rFonts w:ascii="Arial;sans-serif" w:hAnsi="Arial;sans-serif"/>
                  <w:b w:val="false"/>
                  <w:strike w:val="false"/>
                  <w:dstrike w:val="false"/>
                  <w:color w:val="0000FF"/>
                  <w:sz w:val="20"/>
                  <w:u w:val="none"/>
                  <w:effect w:val="none"/>
                </w:rPr>
                <w:t>2</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22">
              <w:r>
                <w:rPr>
                  <w:rStyle w:val="InternetLink"/>
                  <w:rFonts w:ascii="Arial;sans-serif" w:hAnsi="Arial;sans-serif"/>
                  <w:b w:val="false"/>
                  <w:strike w:val="false"/>
                  <w:dstrike w:val="false"/>
                  <w:color w:val="0000FF"/>
                  <w:sz w:val="20"/>
                  <w:u w:val="none"/>
                  <w:effect w:val="none"/>
                </w:rPr>
                <w:t>Consolidated Statements of Comprehensive Income and Loss – Three and Six Months Ended June 30, 2026 and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22">
              <w:r>
                <w:rPr>
                  <w:rStyle w:val="InternetLink"/>
                  <w:rFonts w:ascii="Arial;sans-serif" w:hAnsi="Arial;sans-serif"/>
                  <w:b w:val="false"/>
                  <w:strike w:val="false"/>
                  <w:dstrike w:val="false"/>
                  <w:color w:val="0000FF"/>
                  <w:sz w:val="20"/>
                  <w:u w:val="none"/>
                  <w:effect w:val="none"/>
                </w:rPr>
                <w:t>3</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25">
              <w:r>
                <w:rPr>
                  <w:rStyle w:val="InternetLink"/>
                  <w:rFonts w:ascii="Arial;sans-serif" w:hAnsi="Arial;sans-serif"/>
                  <w:b w:val="false"/>
                  <w:strike w:val="false"/>
                  <w:dstrike w:val="false"/>
                  <w:color w:val="0000FF"/>
                  <w:sz w:val="20"/>
                  <w:u w:val="none"/>
                  <w:effect w:val="none"/>
                </w:rPr>
                <w:t>Consolidated Statements of Changes in Stockholders' Equity – Three and Six Months Ended June 30, 2026 and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25">
              <w:r>
                <w:rPr>
                  <w:rStyle w:val="InternetLink"/>
                  <w:rFonts w:ascii="Arial;sans-serif" w:hAnsi="Arial;sans-serif"/>
                  <w:b w:val="false"/>
                  <w:strike w:val="false"/>
                  <w:dstrike w:val="false"/>
                  <w:color w:val="0000FF"/>
                  <w:sz w:val="20"/>
                  <w:u w:val="none"/>
                  <w:effect w:val="none"/>
                </w:rPr>
                <w:t>4</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28">
              <w:r>
                <w:rPr>
                  <w:rStyle w:val="InternetLink"/>
                  <w:rFonts w:ascii="Arial;sans-serif" w:hAnsi="Arial;sans-serif"/>
                  <w:b w:val="false"/>
                  <w:strike w:val="false"/>
                  <w:dstrike w:val="false"/>
                  <w:color w:val="0000FF"/>
                  <w:sz w:val="20"/>
                  <w:u w:val="none"/>
                  <w:effect w:val="none"/>
                </w:rPr>
                <w:t>Consolidated Statements of Cash Flows – Six Months Ended June 30, 2026 and 2025</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28">
              <w:r>
                <w:rPr>
                  <w:rStyle w:val="InternetLink"/>
                  <w:rFonts w:ascii="Arial;sans-serif" w:hAnsi="Arial;sans-serif"/>
                  <w:b w:val="false"/>
                  <w:strike w:val="false"/>
                  <w:dstrike w:val="false"/>
                  <w:color w:val="0000FF"/>
                  <w:sz w:val="20"/>
                  <w:u w:val="none"/>
                  <w:effect w:val="none"/>
                </w:rPr>
                <w:t>6</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31">
              <w:r>
                <w:rPr>
                  <w:rStyle w:val="InternetLink"/>
                  <w:rFonts w:ascii="Arial;sans-serif" w:hAnsi="Arial;sans-serif"/>
                  <w:b w:val="false"/>
                  <w:strike w:val="false"/>
                  <w:dstrike w:val="false"/>
                  <w:color w:val="0000FF"/>
                  <w:sz w:val="20"/>
                  <w:u w:val="none"/>
                  <w:effect w:val="none"/>
                </w:rPr>
                <w:t xml:space="preserve">Notes to Consolidated Financial Statements </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31">
              <w:r>
                <w:rPr>
                  <w:rStyle w:val="InternetLink"/>
                  <w:rFonts w:ascii="Arial;sans-serif" w:hAnsi="Arial;sans-serif"/>
                  <w:b w:val="false"/>
                  <w:strike w:val="false"/>
                  <w:dstrike w:val="false"/>
                  <w:color w:val="0000FF"/>
                  <w:sz w:val="20"/>
                  <w:u w:val="none"/>
                  <w:effect w:val="none"/>
                </w:rPr>
                <w:t>7</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2.</w:t>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91">
              <w:r>
                <w:rPr>
                  <w:rStyle w:val="InternetLink"/>
                  <w:rFonts w:ascii="Arial;sans-serif" w:hAnsi="Arial;sans-serif"/>
                  <w:b w:val="false"/>
                  <w:strike w:val="false"/>
                  <w:dstrike w:val="false"/>
                  <w:color w:val="0000FF"/>
                  <w:sz w:val="20"/>
                  <w:u w:val="none"/>
                  <w:effect w:val="non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91">
              <w:r>
                <w:rPr>
                  <w:rStyle w:val="InternetLink"/>
                  <w:rFonts w:ascii="Arial;sans-serif" w:hAnsi="Arial;sans-serif"/>
                  <w:b w:val="false"/>
                  <w:strike w:val="false"/>
                  <w:dstrike w:val="false"/>
                  <w:color w:val="0000FF"/>
                  <w:sz w:val="20"/>
                  <w:u w:val="none"/>
                  <w:effect w:val="none"/>
                </w:rPr>
                <w:t>27</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3.</w:t>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15">
              <w:r>
                <w:rPr>
                  <w:rStyle w:val="InternetLink"/>
                  <w:rFonts w:ascii="Arial;sans-serif" w:hAnsi="Arial;sans-serif"/>
                  <w:b w:val="false"/>
                  <w:strike w:val="false"/>
                  <w:dstrike w:val="false"/>
                  <w:color w:val="0000FF"/>
                  <w:sz w:val="20"/>
                  <w:u w:val="none"/>
                  <w:effect w:val="non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15">
              <w:r>
                <w:rPr>
                  <w:rStyle w:val="InternetLink"/>
                  <w:rFonts w:ascii="Arial;sans-serif" w:hAnsi="Arial;sans-serif"/>
                  <w:b w:val="false"/>
                  <w:strike w:val="false"/>
                  <w:dstrike w:val="false"/>
                  <w:color w:val="0000FF"/>
                  <w:sz w:val="20"/>
                  <w:u w:val="none"/>
                  <w:effect w:val="none"/>
                </w:rPr>
                <w:t>47</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4.</w:t>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18">
              <w:r>
                <w:rPr>
                  <w:rStyle w:val="InternetLink"/>
                  <w:rFonts w:ascii="Arial;sans-serif" w:hAnsi="Arial;sans-serif"/>
                  <w:b w:val="false"/>
                  <w:strike w:val="false"/>
                  <w:dstrike w:val="false"/>
                  <w:color w:val="0000FF"/>
                  <w:sz w:val="20"/>
                  <w:u w:val="none"/>
                  <w:effect w:val="non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18">
              <w:r>
                <w:rPr>
                  <w:rStyle w:val="InternetLink"/>
                  <w:rFonts w:ascii="Arial;sans-serif" w:hAnsi="Arial;sans-serif"/>
                  <w:b w:val="false"/>
                  <w:strike w:val="false"/>
                  <w:dstrike w:val="false"/>
                  <w:color w:val="0000FF"/>
                  <w:sz w:val="20"/>
                  <w:u w:val="none"/>
                  <w:effect w:val="none"/>
                </w:rPr>
                <w:t>48</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21">
              <w:r>
                <w:rPr>
                  <w:rStyle w:val="InternetLink"/>
                  <w:rFonts w:ascii="Arial;sans-serif" w:hAnsi="Arial;sans-serif"/>
                  <w:b/>
                  <w:strike w:val="false"/>
                  <w:dstrike w:val="false"/>
                  <w:color w:val="0000FF"/>
                  <w:sz w:val="20"/>
                  <w:u w:val="none"/>
                  <w:effect w:val="none"/>
                </w:rPr>
                <w:t>PART II – OTHER INFORMATION</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1.</w:t>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24">
              <w:r>
                <w:rPr>
                  <w:rStyle w:val="InternetLink"/>
                  <w:rFonts w:ascii="Arial;sans-serif" w:hAnsi="Arial;sans-serif"/>
                  <w:b w:val="false"/>
                  <w:strike w:val="false"/>
                  <w:dstrike w:val="false"/>
                  <w:color w:val="0000FF"/>
                  <w:sz w:val="20"/>
                  <w:u w:val="none"/>
                  <w:effect w:val="non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24">
              <w:r>
                <w:rPr>
                  <w:rStyle w:val="InternetLink"/>
                  <w:rFonts w:ascii="Arial;sans-serif" w:hAnsi="Arial;sans-serif"/>
                  <w:b w:val="false"/>
                  <w:strike w:val="false"/>
                  <w:dstrike w:val="false"/>
                  <w:color w:val="0000FF"/>
                  <w:sz w:val="20"/>
                  <w:u w:val="none"/>
                  <w:effect w:val="none"/>
                </w:rPr>
                <w:t>49</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1A.</w:t>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27">
              <w:r>
                <w:rPr>
                  <w:rStyle w:val="InternetLink"/>
                  <w:rFonts w:ascii="Arial;sans-serif" w:hAnsi="Arial;sans-serif"/>
                  <w:b w:val="false"/>
                  <w:strike w:val="false"/>
                  <w:dstrike w:val="false"/>
                  <w:color w:val="0000FF"/>
                  <w:sz w:val="20"/>
                  <w:u w:val="none"/>
                  <w:effect w:val="non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27">
              <w:r>
                <w:rPr>
                  <w:rStyle w:val="InternetLink"/>
                  <w:rFonts w:ascii="Arial;sans-serif" w:hAnsi="Arial;sans-serif"/>
                  <w:b w:val="false"/>
                  <w:strike w:val="false"/>
                  <w:dstrike w:val="false"/>
                  <w:color w:val="0000FF"/>
                  <w:sz w:val="20"/>
                  <w:u w:val="none"/>
                  <w:effect w:val="none"/>
                </w:rPr>
                <w:t>49</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2.</w:t>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30">
              <w:r>
                <w:rPr>
                  <w:rStyle w:val="InternetLink"/>
                  <w:rFonts w:ascii="Arial;sans-serif" w:hAnsi="Arial;sans-serif"/>
                  <w:b w:val="false"/>
                  <w:strike w:val="false"/>
                  <w:dstrike w:val="false"/>
                  <w:color w:val="0000FF"/>
                  <w:sz w:val="20"/>
                  <w:u w:val="none"/>
                  <w:effect w:val="none"/>
                </w:rPr>
                <w:t>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30">
              <w:r>
                <w:rPr>
                  <w:rStyle w:val="InternetLink"/>
                  <w:rFonts w:ascii="Arial;sans-serif" w:hAnsi="Arial;sans-serif"/>
                  <w:b w:val="false"/>
                  <w:strike w:val="false"/>
                  <w:dstrike w:val="false"/>
                  <w:color w:val="0000FF"/>
                  <w:sz w:val="20"/>
                  <w:u w:val="none"/>
                  <w:effect w:val="none"/>
                </w:rPr>
                <w:t>65</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5.</w:t>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33">
              <w:r>
                <w:rPr>
                  <w:rStyle w:val="InternetLink"/>
                  <w:rFonts w:ascii="Arial;sans-serif" w:hAnsi="Arial;sans-serif"/>
                  <w:b w:val="false"/>
                  <w:strike w:val="false"/>
                  <w:dstrike w:val="false"/>
                  <w:color w:val="0000FF"/>
                  <w:sz w:val="20"/>
                  <w:u w:val="none"/>
                  <w:effect w:val="non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33">
              <w:r>
                <w:rPr>
                  <w:rStyle w:val="InternetLink"/>
                  <w:rFonts w:ascii="Arial;sans-serif" w:hAnsi="Arial;sans-serif"/>
                  <w:b w:val="false"/>
                  <w:strike w:val="false"/>
                  <w:dstrike w:val="false"/>
                  <w:color w:val="0000FF"/>
                  <w:sz w:val="20"/>
                  <w:u w:val="none"/>
                  <w:effect w:val="none"/>
                </w:rPr>
                <w:t>65</w:t>
              </w:r>
            </w:hyperlink>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rPr>
            </w:pPr>
            <w:r>
              <w:rPr>
                <w:rFonts w:ascii="Arial;sans-serif" w:hAnsi="Arial;sans-serif"/>
                <w:b w:val="false"/>
                <w:color w:val="0000FF"/>
                <w:sz w:val="20"/>
              </w:rPr>
              <w:t>Item 6.</w:t>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36">
              <w:r>
                <w:rPr>
                  <w:rStyle w:val="InternetLink"/>
                  <w:rFonts w:ascii="Arial;sans-serif" w:hAnsi="Arial;sans-serif"/>
                  <w:b w:val="false"/>
                  <w:strike w:val="false"/>
                  <w:dstrike w:val="false"/>
                  <w:color w:val="0000FF"/>
                  <w:sz w:val="20"/>
                  <w:u w:val="none"/>
                  <w:effect w:val="none"/>
                </w:rPr>
                <w:t>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36">
              <w:r>
                <w:rPr>
                  <w:rStyle w:val="InternetLink"/>
                  <w:rFonts w:ascii="Arial;sans-serif" w:hAnsi="Arial;sans-serif"/>
                  <w:b w:val="false"/>
                  <w:strike w:val="false"/>
                  <w:dstrike w:val="false"/>
                  <w:color w:val="0000FF"/>
                  <w:sz w:val="20"/>
                  <w:u w:val="none"/>
                  <w:effect w:val="none"/>
                </w:rPr>
                <w:t>66</w:t>
              </w:r>
            </w:hyperlink>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3"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182abe83ae2c468bba96d6952951b314_139">
              <w:r>
                <w:rPr>
                  <w:rStyle w:val="InternetLink"/>
                  <w:rFonts w:ascii="Arial;sans-serif" w:hAnsi="Arial;sans-serif"/>
                  <w:b w:val="false"/>
                  <w:strike w:val="false"/>
                  <w:dstrike w:val="false"/>
                  <w:color w:val="0000FF"/>
                  <w:sz w:val="20"/>
                  <w:u w:val="none"/>
                  <w:effect w:val="none"/>
                </w:rPr>
                <w:t>Signature</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82abe83ae2c468bba96d6952951b314_139">
              <w:r>
                <w:rPr>
                  <w:rStyle w:val="InternetLink"/>
                  <w:rFonts w:ascii="Arial;sans-serif" w:hAnsi="Arial;sans-serif"/>
                  <w:b w:val="false"/>
                  <w:strike w:val="false"/>
                  <w:dstrike w:val="false"/>
                  <w:color w:val="0000FF"/>
                  <w:sz w:val="20"/>
                  <w:u w:val="none"/>
                  <w:effect w:val="none"/>
                </w:rPr>
                <w:t>67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44"/>
        <w:gridCol w:w="2254"/>
        <w:gridCol w:w="2210"/>
        <w:gridCol w:w="196"/>
        <w:gridCol w:w="886"/>
        <w:gridCol w:w="109"/>
        <w:gridCol w:w="109"/>
        <w:gridCol w:w="109"/>
        <w:gridCol w:w="109"/>
        <w:gridCol w:w="221"/>
        <w:gridCol w:w="982"/>
        <w:gridCol w:w="176"/>
      </w:tblGrid>
      <w:tr>
        <w:trPr/>
        <w:tc>
          <w:tcPr>
            <w:tcW w:w="2844"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28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par value)</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1,421,690 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970,363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947,497 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137,754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receivable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2,317,120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2,640,343 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 at fair value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3,033,341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Loans to bank customers, net of allowance for credit losses of $38,005 and $21,053 as of June 30, 2026 and December 31,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internal-use software,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200,197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80,663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374,401 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6,192,055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5,985,236 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4,640,329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4,416,294 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to customers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149,797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5,187,367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5,029,569 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63,739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5,252,654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5,094,991 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17)</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$0.001 par value; 100,000 shares authorized as of June 30, 2026 and December 31, 2025; 56,985 and 55,565 shares issued and outstanding as of June 30, 2026 and December 31,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430,971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696,402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644,736 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939,401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890,245 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6,192,055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5,985,236 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92"/>
        <w:gridCol w:w="1577"/>
        <w:gridCol w:w="1584"/>
        <w:gridCol w:w="197"/>
        <w:gridCol w:w="761"/>
        <w:gridCol w:w="109"/>
        <w:gridCol w:w="109"/>
        <w:gridCol w:w="109"/>
        <w:gridCol w:w="109"/>
        <w:gridCol w:w="197"/>
        <w:gridCol w:w="746"/>
        <w:gridCol w:w="109"/>
        <w:gridCol w:w="109"/>
        <w:gridCol w:w="109"/>
        <w:gridCol w:w="109"/>
        <w:gridCol w:w="196"/>
        <w:gridCol w:w="751"/>
        <w:gridCol w:w="109"/>
        <w:gridCol w:w="109"/>
        <w:gridCol w:w="109"/>
        <w:gridCol w:w="109"/>
        <w:gridCol w:w="196"/>
        <w:gridCol w:w="736"/>
        <w:gridCol w:w="164"/>
      </w:tblGrid>
      <w:tr>
        <w:trPr/>
        <w:tc>
          <w:tcPr>
            <w:tcW w:w="179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 revenues and other fees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476,904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925,579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757,177 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processing revenues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9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595,883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1,252,130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1,063,050 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108,672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expenses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Processing expenses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394,692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769,286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578,530 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186,943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596,644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1,183,853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988,906 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 income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(100,395)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9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(29,268)</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(loss) earnings per common share: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(loss) earnings per common share</w:t>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0.89</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weighted-average common shares issued and outstanding:</w:t>
            </w:r>
          </w:p>
        </w:tc>
        <w:tc>
          <w:tcPr>
            <w:tcW w:w="95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56,765</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56,257</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54,746 </w:t>
            </w:r>
          </w:p>
        </w:tc>
        <w:tc>
          <w:tcPr>
            <w:tcW w:w="16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common shares issued and outstanding:</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AND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499" w:type="dxa"/>
        <w:jc w:val="center"/>
        <w:tblInd w:w="0" w:type="dxa"/>
        <w:tblLayout w:type="fixed"/>
        <w:tblCellMar>
          <w:top w:w="28" w:type="dxa"/>
          <w:left w:w="28" w:type="dxa"/>
          <w:bottom w:w="28" w:type="dxa"/>
          <w:right w:w="28" w:type="dxa"/>
        </w:tblCellMar>
      </w:tblPr>
      <w:tblGrid>
        <w:gridCol w:w="1577"/>
        <w:gridCol w:w="1381"/>
        <w:gridCol w:w="1392"/>
        <w:gridCol w:w="210"/>
        <w:gridCol w:w="678"/>
        <w:gridCol w:w="117"/>
        <w:gridCol w:w="117"/>
        <w:gridCol w:w="117"/>
        <w:gridCol w:w="117"/>
        <w:gridCol w:w="210"/>
        <w:gridCol w:w="775"/>
        <w:gridCol w:w="117"/>
        <w:gridCol w:w="109"/>
        <w:gridCol w:w="109"/>
        <w:gridCol w:w="109"/>
        <w:gridCol w:w="196"/>
        <w:gridCol w:w="661"/>
        <w:gridCol w:w="109"/>
        <w:gridCol w:w="109"/>
        <w:gridCol w:w="109"/>
        <w:gridCol w:w="109"/>
        <w:gridCol w:w="196"/>
        <w:gridCol w:w="721"/>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income</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holding (losses) income, net of tax</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losses realized in net income, net of tax</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Comprehensive (loss) income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(4,155)</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(34,946)</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45,661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13"/>
        <w:gridCol w:w="410"/>
        <w:gridCol w:w="412"/>
        <w:gridCol w:w="330"/>
        <w:gridCol w:w="331"/>
        <w:gridCol w:w="216"/>
        <w:gridCol w:w="114"/>
        <w:gridCol w:w="114"/>
        <w:gridCol w:w="114"/>
        <w:gridCol w:w="296"/>
        <w:gridCol w:w="363"/>
        <w:gridCol w:w="114"/>
        <w:gridCol w:w="109"/>
        <w:gridCol w:w="109"/>
        <w:gridCol w:w="109"/>
        <w:gridCol w:w="215"/>
        <w:gridCol w:w="826"/>
        <w:gridCol w:w="119"/>
        <w:gridCol w:w="109"/>
        <w:gridCol w:w="109"/>
        <w:gridCol w:w="109"/>
        <w:gridCol w:w="205"/>
        <w:gridCol w:w="786"/>
        <w:gridCol w:w="114"/>
        <w:gridCol w:w="109"/>
        <w:gridCol w:w="109"/>
        <w:gridCol w:w="109"/>
        <w:gridCol w:w="287"/>
        <w:gridCol w:w="1102"/>
        <w:gridCol w:w="161"/>
        <w:gridCol w:w="109"/>
        <w:gridCol w:w="109"/>
        <w:gridCol w:w="109"/>
        <w:gridCol w:w="238"/>
        <w:gridCol w:w="916"/>
        <w:gridCol w:w="201"/>
      </w:tblGrid>
      <w:tr>
        <w:trPr/>
        <w:tc>
          <w:tcPr>
            <w:tcW w:w="9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56,661</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427,915</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698,489</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(185,961)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940,500</w:t>
            </w: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under stock plans, net of withholdings and related tax effects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3,332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3,332</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(2,068)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56,985</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430,971</w:t>
            </w:r>
            <w:r>
              <w:rPr>
                <w:color w:val="000000"/>
              </w:rPr>
              <w:t>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696,402</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(188,029)</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939,401</w:t>
            </w:r>
            <w:r>
              <w:rPr>
                <w:color w:val="000000"/>
              </w:rPr>
              <w:t>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19"/>
        <w:gridCol w:w="418"/>
        <w:gridCol w:w="419"/>
        <w:gridCol w:w="323"/>
        <w:gridCol w:w="323"/>
        <w:gridCol w:w="216"/>
        <w:gridCol w:w="114"/>
        <w:gridCol w:w="114"/>
        <w:gridCol w:w="114"/>
        <w:gridCol w:w="300"/>
        <w:gridCol w:w="359"/>
        <w:gridCol w:w="114"/>
        <w:gridCol w:w="109"/>
        <w:gridCol w:w="109"/>
        <w:gridCol w:w="109"/>
        <w:gridCol w:w="217"/>
        <w:gridCol w:w="815"/>
        <w:gridCol w:w="120"/>
        <w:gridCol w:w="109"/>
        <w:gridCol w:w="109"/>
        <w:gridCol w:w="109"/>
        <w:gridCol w:w="206"/>
        <w:gridCol w:w="773"/>
        <w:gridCol w:w="114"/>
        <w:gridCol w:w="109"/>
        <w:gridCol w:w="109"/>
        <w:gridCol w:w="109"/>
        <w:gridCol w:w="288"/>
        <w:gridCol w:w="1108"/>
        <w:gridCol w:w="162"/>
        <w:gridCol w:w="109"/>
        <w:gridCol w:w="109"/>
        <w:gridCol w:w="109"/>
        <w:gridCol w:w="242"/>
        <w:gridCol w:w="914"/>
        <w:gridCol w:w="205"/>
      </w:tblGrid>
      <w:tr>
        <w:trPr/>
        <w:tc>
          <w:tcPr>
            <w:tcW w:w="9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2025</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54,873 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408,602 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769,375 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(230,369)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947,663 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under stock plans, net of withholdings and related tax effects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55,388 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416,767 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722,350 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(218,290)</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920,882 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STOCKHOLDERS' EQUITY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8"/>
        <w:gridCol w:w="457"/>
        <w:gridCol w:w="460"/>
        <w:gridCol w:w="330"/>
        <w:gridCol w:w="331"/>
        <w:gridCol w:w="216"/>
        <w:gridCol w:w="114"/>
        <w:gridCol w:w="114"/>
        <w:gridCol w:w="114"/>
        <w:gridCol w:w="296"/>
        <w:gridCol w:w="363"/>
        <w:gridCol w:w="114"/>
        <w:gridCol w:w="109"/>
        <w:gridCol w:w="109"/>
        <w:gridCol w:w="109"/>
        <w:gridCol w:w="215"/>
        <w:gridCol w:w="826"/>
        <w:gridCol w:w="119"/>
        <w:gridCol w:w="109"/>
        <w:gridCol w:w="109"/>
        <w:gridCol w:w="109"/>
        <w:gridCol w:w="205"/>
        <w:gridCol w:w="786"/>
        <w:gridCol w:w="114"/>
        <w:gridCol w:w="109"/>
        <w:gridCol w:w="109"/>
        <w:gridCol w:w="109"/>
        <w:gridCol w:w="287"/>
        <w:gridCol w:w="1102"/>
        <w:gridCol w:w="161"/>
        <w:gridCol w:w="109"/>
        <w:gridCol w:w="109"/>
        <w:gridCol w:w="109"/>
        <w:gridCol w:w="238"/>
        <w:gridCol w:w="916"/>
        <w:gridCol w:w="201"/>
      </w:tblGrid>
      <w:tr>
        <w:trPr/>
        <w:tc>
          <w:tcPr>
            <w:tcW w:w="81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55,565</w:t>
            </w: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427,477</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644,736</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(182,024)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890,245</w:t>
            </w: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under stock plans, net of withholdings and related tax effects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1,420</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(4,331)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7,826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7,826</w:t>
            </w: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(6,005)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56,985</w:t>
            </w: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430,971</w:t>
            </w:r>
            <w:r>
              <w:rPr>
                <w:color w:val="000000"/>
              </w:rPr>
              <w:t>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696,402</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(188,029)</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939,401</w:t>
            </w:r>
            <w:r>
              <w:rPr>
                <w:color w:val="000000"/>
              </w:rPr>
              <w:t>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464"/>
        <w:gridCol w:w="467"/>
        <w:gridCol w:w="323"/>
        <w:gridCol w:w="323"/>
        <w:gridCol w:w="216"/>
        <w:gridCol w:w="114"/>
        <w:gridCol w:w="114"/>
        <w:gridCol w:w="114"/>
        <w:gridCol w:w="300"/>
        <w:gridCol w:w="359"/>
        <w:gridCol w:w="114"/>
        <w:gridCol w:w="109"/>
        <w:gridCol w:w="109"/>
        <w:gridCol w:w="109"/>
        <w:gridCol w:w="217"/>
        <w:gridCol w:w="815"/>
        <w:gridCol w:w="120"/>
        <w:gridCol w:w="109"/>
        <w:gridCol w:w="109"/>
        <w:gridCol w:w="109"/>
        <w:gridCol w:w="206"/>
        <w:gridCol w:w="773"/>
        <w:gridCol w:w="114"/>
        <w:gridCol w:w="109"/>
        <w:gridCol w:w="109"/>
        <w:gridCol w:w="109"/>
        <w:gridCol w:w="288"/>
        <w:gridCol w:w="1108"/>
        <w:gridCol w:w="162"/>
        <w:gridCol w:w="109"/>
        <w:gridCol w:w="109"/>
        <w:gridCol w:w="109"/>
        <w:gridCol w:w="242"/>
        <w:gridCol w:w="914"/>
        <w:gridCol w:w="205"/>
      </w:tblGrid>
      <w:tr>
        <w:trPr/>
        <w:tc>
          <w:tcPr>
            <w:tcW w:w="82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54,227 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408,010 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743,602 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(278,082)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873,585 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under stock plans, net of withholdings and related tax effects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55,388 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416,767 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722,350 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(218,290)</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920,882 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See notes to unaudited consolidated financial statements</w:t>
      </w:r>
    </w:p>
    <w:p>
      <w:pPr>
        <w:pStyle w:val="TextBody"/>
        <w:bidi w:val="0"/>
        <w:spacing w:before="6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983" w:type="dxa"/>
        <w:jc w:val="center"/>
        <w:tblInd w:w="0" w:type="dxa"/>
        <w:tblLayout w:type="fixed"/>
        <w:tblCellMar>
          <w:top w:w="28" w:type="dxa"/>
          <w:left w:w="28" w:type="dxa"/>
          <w:bottom w:w="28" w:type="dxa"/>
          <w:right w:w="28" w:type="dxa"/>
        </w:tblCellMar>
      </w:tblPr>
      <w:tblGrid>
        <w:gridCol w:w="2625"/>
        <w:gridCol w:w="2303"/>
        <w:gridCol w:w="2316"/>
        <w:gridCol w:w="196"/>
        <w:gridCol w:w="886"/>
        <w:gridCol w:w="109"/>
        <w:gridCol w:w="109"/>
        <w:gridCol w:w="109"/>
        <w:gridCol w:w="109"/>
        <w:gridCol w:w="196"/>
        <w:gridCol w:w="871"/>
        <w:gridCol w:w="154"/>
      </w:tblGrid>
      <w:tr>
        <w:trPr/>
        <w:tc>
          <w:tcPr>
            <w:tcW w:w="262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provided by 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uncollectible overdrawn accounts from purchase transactions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loan losses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in equity method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 on available-for-sale investment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premium and discount on available-for-sale investment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long-lived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receivable/payable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194,685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investment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(671,567)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95,929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and calls of available-for-sale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property, equipment and internal-use software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loans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(627,790)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501,664 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on notes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ESPP purchases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related to net share settlement of equity awards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185,569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settlement assets and obligations to customers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154,797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increase in unrestricted cash, cash equivalents and 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(278,308)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cash equivalents and restricted cash, beginning of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1,421,734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cash equivalents and restricted cash,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1,143,426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2,312,562 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unrestricted cash, cash equivalents and restricted cash at end of period: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2,312,518 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unrestricted cash, cash equivalents and restricted cash,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1,143,426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2,312,562 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See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1—Organization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Green Dot Corporation (“we,” “our,” or “us” refer to Green Dot Corporation and its consolidated subsidiaries) is a financial technology platform and registered bank holding company that builds banking and payment solutions to create value, retain and reward customers, and accelerate growth for businesses of all sizes. For more than two decades, we have delivered financial tools and services that address the most pressing financial needs of consumers and businesses, and that transform the way people and businesses manage and move money. Through Green Dot Bank, our wholly owned subsidiary, we deliver a broad spectrum of financial products to consumers and businesses through our portfolio of brands, including debit, checking, credit, prepaid, and payroll cards, as well as robust money processing services, such as tax refunds, cash deposits and disbursements.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were incorporated in Delaware in 1999 and became a bank holding company under the Bank Holding Company Act and Green Dot Bank became a member bank of the Federal Reserve System in December 2011.</w:t>
      </w:r>
    </w:p>
    <w:p>
      <w:pPr>
        <w:pStyle w:val="TextBody"/>
        <w:bidi w:val="0"/>
        <w:spacing w:lineRule="auto" w:line="288" w:before="120" w:after="120"/>
        <w:ind w:left="0" w:right="0" w:firstLine="360"/>
        <w:jc w:val="both"/>
        <w:rPr>
          <w:rFonts w:ascii="Arial;sans-serif" w:hAnsi="Arial;sans-serif"/>
          <w:b/>
          <w:color w:val="000000"/>
          <w:sz w:val="20"/>
        </w:rPr>
      </w:pPr>
      <w:r>
        <w:rPr>
          <w:rFonts w:ascii="Arial;sans-serif" w:hAnsi="Arial;sans-serif"/>
          <w:b/>
          <w:color w:val="000000"/>
          <w:sz w:val="20"/>
        </w:rPr>
        <w:t>Proposed Transactions with CommerceOne Financial Corporation and Smith Ventures, LLC</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a strategic review process we commenced in March 2025 (our “strategic review process”), on November 23, 2025, we entered into an Agreement and Plan of Merger (the “Merger Agreement”), with CommerceOne Financial Corporation, an Alabama corporation (“CommerceOne”), Compass Sub North, Inc., a newly formed Delaware corporation and a direct, wholly owned subsidiary of CommerceOne (“New CommerceOne”), Compass Sub East, Inc., a newly formed Delaware corporation and a direct, wholly owned subsidiary of New CommerceOne (“Merger Sub One”), and Compass Sub West, Inc., a newly formed Delaware corporation and an indirect, wholly owned subsidiary of New CommerceOne (“Merger Sub Two”), pursuant to which, upon the terms and subject to the conditions therein, (i) Merger Sub One will merge with and into CommerceOne, with CommerceOne surviving (the “CommerceOne Merger”), and Merger Sub Two will merge with and into Green Dot Corporation, with Green Dot Corporation surviving (the “Green Dot Merger,” and together with the CommerceOne Merger, the “First Mergers”); and (ii) following the First Mergers, CommerceOne will merge with and into New CommerceOne, with New CommerceOne surviving under the name “CommerceOne Financial Corporation” (together with the First Mergers, the “Mergers”).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Subject to the terms and conditions of the Merger Agreement, at the effective time of the First Mergers (the “First Effective Time”), each share of common stock of Green Dot Corporation, issued and outstanding immediately prior to the First Effective Time, other than certain excluded shares held by us, CommerceOne, New CommerceOne or our dissenting stockholders, will be converted into the right to receive (i) 0.2215 shares of the common stock of New CommerceOne and (ii) an amount in cash equal to $8.11 (the “Per Share Cash Consideration”), less any withholding and without interest.</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Also on November 23, 2025, we entered into a separation agreement (the “Separation Agreement”), with New CommerceOne and Green Dot OpCo, LLC, a newly formed Delaware limited liability company and affiliate of Smith Ventures LLC, an Alabama limited liability company (“Payments Buyer”), pursuant to which, upon the terms and subject to the conditions therein, following the First Mergers, (i) Green Dot Corporation will convert into a limited liability company, (ii) Green Dot Corporation will distribute the stock of Green Dot Bank to Compass Sub Northwest, Inc., a Delaware corporation and direct, wholly owned subsidiary of New CommerceOne, and (iii) Payments Buyer will acquire Green Dot Corporation and its non-bank financial technology and related assets and operations (the “Payments Business”) for $690 million (the “Payments Sale”), the proceeds of which will be paid to New CommerceOne and are expected to be used to fund the Per Share Cash Consideration and to retire certain indebtedness of Green Dot Corporation.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All board and stockholder approvals under the Merger Agreement and the Separation Agreement have been obtained and the closing of the transactions contemplated thereby remains subject to the receipt of required regulatory approvals, and the satisfaction of other customary closing conditions. For additional information regarding potential risks and uncertainties associated with such transactions, please see Part II, Item 1A, Risk Factors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accompanying unaudited consolidated financial statements are prepared in accordance with generally accepted accounting principles in the United States of America, or GAAP. We consolidated our wholly owned subsidiaries and eliminated all significant intercompany balances and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2—Summary of Significant Accounting Policies (continued)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also prepared the accompanying unaudited consolidated financial statements in conformity with the instructions to Form 10-Q and Article 10 of Regulation S-X and, consequently, they do not include all of the annual disclosures required by GAAP. Reference is made to our Annual Report on Form 10-K for the year ended December 31, 2025 for additional disclosures, including a summary of our significant accounting policies. There have been no material changes to our previously disclosed significant accounting policies during the six months ended June 30, 2026. In our opinion, the accompanying unaudited consolidated financial statements contain all adjustments, consisting of normal and recurring items, necessary for the fair presentation of our financial position, results of operations and cash flows for the interim periods presented.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as of June 30, 2026 and through the date of this report. The accounting estimates used in the preparation of our consolidated financial statements may change as new events occur, as more experience is acquired, as additional information is obtained, and as our operating environment changes. Actual results may differ from these estimates due to a variety of factors, including those identified under Part II, Item 1A. "Risk Factors" in this report.</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Accounting pronouncements not yet adopted</w:t>
      </w:r>
    </w:p>
    <w:p>
      <w:pPr>
        <w:pStyle w:val="TextBody"/>
        <w:bidi w:val="0"/>
        <w:spacing w:lineRule="auto" w:line="288" w:before="120" w:after="283"/>
        <w:ind w:left="0" w:right="0" w:firstLine="360"/>
        <w:jc w:val="both"/>
        <w:rPr/>
      </w:pPr>
      <w:r>
        <w:rPr>
          <w:rFonts w:ascii="Arial;sans-serif" w:hAnsi="Arial;sans-serif"/>
          <w:b w:val="false"/>
          <w:color w:val="000000"/>
          <w:sz w:val="20"/>
        </w:rPr>
        <w:t>In December 2025, the FASB issued ASU 2025-11 "</w:t>
      </w:r>
      <w:r>
        <w:rPr>
          <w:rFonts w:ascii="Arial;sans-serif" w:hAnsi="Arial;sans-serif"/>
          <w:b w:val="false"/>
          <w:i/>
          <w:color w:val="000000"/>
          <w:sz w:val="20"/>
        </w:rPr>
        <w:t>Interim Reporting (Topic 270), Narrow-Scope Improvements</w:t>
      </w:r>
      <w:r>
        <w:rPr>
          <w:rFonts w:ascii="Arial;sans-serif" w:hAnsi="Arial;sans-serif"/>
          <w:b w:val="false"/>
          <w:color w:val="000000"/>
          <w:sz w:val="20"/>
        </w:rPr>
        <w:t>," which clarifies the interim reporting requirements by improving navigability and more clearly specifying what disclosures are required in an interim reporting period applicable to Topic 270. The ASU is effective for annual reporting periods beginning after December 15, 2027, and early adoption is permitted. We are currently evaluating the potential effect that the updated standard will have on our consolidated financial statements and disclosures.</w:t>
      </w:r>
    </w:p>
    <w:p>
      <w:pPr>
        <w:pStyle w:val="TextBody"/>
        <w:bidi w:val="0"/>
        <w:spacing w:lineRule="auto" w:line="288" w:before="120" w:after="283"/>
        <w:ind w:left="0" w:right="0" w:firstLine="360"/>
        <w:jc w:val="both"/>
        <w:rPr/>
      </w:pPr>
      <w:r>
        <w:rPr>
          <w:rFonts w:ascii="Arial;sans-serif" w:hAnsi="Arial;sans-serif"/>
          <w:b w:val="false"/>
          <w:color w:val="000000"/>
          <w:sz w:val="20"/>
        </w:rPr>
        <w:t>In September 2025, the FASB issued ASU 2025-06 "</w:t>
      </w:r>
      <w:r>
        <w:rPr>
          <w:rFonts w:ascii="Arial;sans-serif" w:hAnsi="Arial;sans-serif"/>
          <w:b w:val="false"/>
          <w:i/>
          <w:color w:val="000000"/>
          <w:sz w:val="20"/>
        </w:rPr>
        <w:t>Intangibles - Goodwill and Other - Internal-Use Software (Subtopic 350-40): Targeted Improvements to the Accounting for Internal-Use Software,"</w:t>
      </w:r>
      <w:r>
        <w:rPr>
          <w:color w:val="000000"/>
        </w:rPr>
        <w:t xml:space="preserve"> </w:t>
      </w:r>
      <w:r>
        <w:rPr>
          <w:rFonts w:ascii="Arial;sans-serif" w:hAnsi="Arial;sans-serif"/>
          <w:b w:val="false"/>
          <w:color w:val="000000"/>
          <w:sz w:val="20"/>
        </w:rPr>
        <w:t>which amends the accounting for and disclosure of software costs. The new guidance is effective for annual reporting periods beginning after December 15, 2027, and interim reporting periods within those annual reporting periods, with early adoption permitted. This updated standard is to be applied using a prospective, modified transition, or retrospective application. We are currently evaluating the potential effect that the updated standard will have on our consolidated financial statements and disclosures.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which requires disclosures about specific types of expenses included in the expense captions presented on the consolidated statement of operations, as well as disclosures about selling expenses. The new guidance is effective for annual reporting periods beginning after December 15, 2026, and interim reporting periods beginning after December 15, 2027. This updated standard is to be applied prospectively with the option for retrospective application. We are currently evaluating the potential effect that the updated standard will have on our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3—Revenues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 discussed in </w:t>
      </w:r>
      <w:r>
        <w:rPr>
          <w:rFonts w:ascii="Arial;sans-serif" w:hAnsi="Arial;sans-serif"/>
          <w:b w:val="false"/>
          <w:i/>
          <w:color w:val="000000"/>
          <w:sz w:val="20"/>
        </w:rPr>
        <w:t>Note 20 — Segment Informatio</w:t>
      </w:r>
      <w:r>
        <w:rPr>
          <w:rFonts w:ascii="Arial;sans-serif" w:hAnsi="Arial;sans-serif"/>
          <w:b w:val="false"/>
          <w:color w:val="000000"/>
          <w:sz w:val="20"/>
        </w:rPr>
        <w:t>n, we determine our operating segments based on how our chief operating decision maker manages our operations, makes operating decisions and evaluates operating performance. Within our segments, we believe that the nature, amount, timing and uncertainty of our revenue and cash flows and how they are affected by economic factors can be further illustrated based on the timing in which revenue for each of our products and services is recognized. Our products and services are only offered to customers within the United States and certain U.S. territories. The following tables disaggregate our revenues earned from external customers by each of our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3—Revenues (continued)</w:t>
      </w:r>
    </w:p>
    <w:tbl>
      <w:tblPr>
        <w:tblW w:w="9275"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211"/>
        <w:gridCol w:w="811"/>
        <w:gridCol w:w="117"/>
        <w:gridCol w:w="109"/>
        <w:gridCol w:w="109"/>
        <w:gridCol w:w="109"/>
        <w:gridCol w:w="331"/>
        <w:gridCol w:w="1119"/>
        <w:gridCol w:w="184"/>
        <w:gridCol w:w="109"/>
        <w:gridCol w:w="109"/>
        <w:gridCol w:w="109"/>
        <w:gridCol w:w="447"/>
        <w:gridCol w:w="1509"/>
        <w:gridCol w:w="248"/>
        <w:gridCol w:w="109"/>
        <w:gridCol w:w="109"/>
        <w:gridCol w:w="109"/>
        <w:gridCol w:w="196"/>
        <w:gridCol w:w="75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40,182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65,382</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50,835</w:t>
            </w: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156,399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399,519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17,651</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824</w:t>
            </w: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417,994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439,701</w:t>
            </w:r>
            <w:r>
              <w:rPr>
                <w:color w:val="000000"/>
              </w:rPr>
              <w:t>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83,033</w:t>
            </w:r>
            <w:r>
              <w:rPr>
                <w:color w:val="000000"/>
              </w:rPr>
              <w:t>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51,659</w:t>
            </w:r>
            <w:r>
              <w:rPr>
                <w:color w:val="000000"/>
              </w:rPr>
              <w:t>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574,393</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61"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214"/>
        <w:gridCol w:w="806"/>
        <w:gridCol w:w="119"/>
        <w:gridCol w:w="109"/>
        <w:gridCol w:w="109"/>
        <w:gridCol w:w="109"/>
        <w:gridCol w:w="337"/>
        <w:gridCol w:w="1111"/>
        <w:gridCol w:w="187"/>
        <w:gridCol w:w="109"/>
        <w:gridCol w:w="109"/>
        <w:gridCol w:w="109"/>
        <w:gridCol w:w="454"/>
        <w:gridCol w:w="1498"/>
        <w:gridCol w:w="252"/>
        <w:gridCol w:w="109"/>
        <w:gridCol w:w="109"/>
        <w:gridCol w:w="109"/>
        <w:gridCol w:w="196"/>
        <w:gridCol w:w="73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53,190 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337,474 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91,200 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54,001 </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482,675 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10"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211"/>
        <w:gridCol w:w="811"/>
        <w:gridCol w:w="117"/>
        <w:gridCol w:w="109"/>
        <w:gridCol w:w="109"/>
        <w:gridCol w:w="109"/>
        <w:gridCol w:w="303"/>
        <w:gridCol w:w="1163"/>
        <w:gridCol w:w="168"/>
        <w:gridCol w:w="109"/>
        <w:gridCol w:w="109"/>
        <w:gridCol w:w="109"/>
        <w:gridCol w:w="409"/>
        <w:gridCol w:w="1568"/>
        <w:gridCol w:w="227"/>
        <w:gridCol w:w="109"/>
        <w:gridCol w:w="109"/>
        <w:gridCol w:w="109"/>
        <w:gridCol w:w="196"/>
        <w:gridCol w:w="88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78,519</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130,759</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185,147</w:t>
            </w: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394,425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770,340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37,014</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1,619</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808,973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848,859</w:t>
            </w:r>
            <w:r>
              <w:rPr>
                <w:color w:val="000000"/>
              </w:rPr>
              <w:t>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167,773</w:t>
            </w:r>
            <w:r>
              <w:rPr>
                <w:color w:val="000000"/>
              </w:rPr>
              <w:t>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186,766</w:t>
            </w:r>
            <w:r>
              <w:rPr>
                <w:color w:val="000000"/>
              </w:rPr>
              <w:t>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1,203,398</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96"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214"/>
        <w:gridCol w:w="806"/>
        <w:gridCol w:w="119"/>
        <w:gridCol w:w="109"/>
        <w:gridCol w:w="109"/>
        <w:gridCol w:w="109"/>
        <w:gridCol w:w="308"/>
        <w:gridCol w:w="1156"/>
        <w:gridCol w:w="171"/>
        <w:gridCol w:w="109"/>
        <w:gridCol w:w="109"/>
        <w:gridCol w:w="109"/>
        <w:gridCol w:w="415"/>
        <w:gridCol w:w="1559"/>
        <w:gridCol w:w="230"/>
        <w:gridCol w:w="109"/>
        <w:gridCol w:w="109"/>
        <w:gridCol w:w="109"/>
        <w:gridCol w:w="196"/>
        <w:gridCol w:w="87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76,125 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165,630 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668,385 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184,288 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167,247 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1,019,920 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Excludes net interest income, a component of total operating revenues, as it is outside the scope of </w:t>
            </w:r>
            <w:r>
              <w:rPr>
                <w:rFonts w:ascii="Arial;sans-serif" w:hAnsi="Arial;sans-serif"/>
                <w:b w:val="false"/>
                <w:i/>
                <w:color w:val="000000"/>
                <w:sz w:val="16"/>
              </w:rPr>
              <w:t xml:space="preserve">ASC 606, Revenues. </w:t>
            </w:r>
            <w:r>
              <w:rPr>
                <w:rFonts w:ascii="Arial;sans-serif" w:hAnsi="Arial;sans-serif"/>
                <w:b w:val="false"/>
                <w:color w:val="000000"/>
                <w:sz w:val="16"/>
              </w:rPr>
              <w:t>Also excludes the effects of inter-segment revenues.</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Revenues recognized at a point in time are comprised of interchange fees, ATM fees, overdraft protection fees, other similar accountholder transaction-based fees, and substantially all of our cash processing revenues. Revenues recognized over time consist of new card fees, monthly maintenance fees, revenue earned from gift cards and substantially all BaaS (as defined herein) partner program management service fees.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presented on our consolidated balance sheets, we record deferred revenue for any upfront payments received in advance of our performance obligations being satisfied. These contract liabilities consist principally of unearned new card fees and monthly maintenance fees. We recognized approximately $0.5 million in revenue for each of the three months ended June 30, 2026 and 2025, and $2.1 million and $2.7 million for the six months ended June 30, 2026 and 2025, respectively, that were included in deferred revenue at the beginning of the respective periods and did not recognize any revenue during these periods from performance obligations satisfied in previous periods. Substantially all of the deferred revenue balances at the beginning of the respective periods are recognized in the first half of each year. Changes in the deferred revenue balance are driven primarily by the amount of new card fees recognized during the period, and the degree to which these reductions to the deferred revenue balance are offset by the deferral of new card fees associated with cards sold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4—Investment Securities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available-for-sale investment securities were as follows:</w:t>
      </w:r>
    </w:p>
    <w:tbl>
      <w:tblPr>
        <w:tblW w:w="10205" w:type="dxa"/>
        <w:jc w:val="left"/>
        <w:tblInd w:w="0" w:type="dxa"/>
        <w:tblLayout w:type="fixed"/>
        <w:tblCellMar>
          <w:top w:w="28" w:type="dxa"/>
          <w:left w:w="28" w:type="dxa"/>
          <w:bottom w:w="28" w:type="dxa"/>
          <w:right w:w="28" w:type="dxa"/>
        </w:tblCellMar>
      </w:tblPr>
      <w:tblGrid>
        <w:gridCol w:w="996"/>
        <w:gridCol w:w="870"/>
        <w:gridCol w:w="878"/>
        <w:gridCol w:w="216"/>
        <w:gridCol w:w="980"/>
        <w:gridCol w:w="119"/>
        <w:gridCol w:w="109"/>
        <w:gridCol w:w="109"/>
        <w:gridCol w:w="109"/>
        <w:gridCol w:w="429"/>
        <w:gridCol w:w="1253"/>
        <w:gridCol w:w="241"/>
        <w:gridCol w:w="109"/>
        <w:gridCol w:w="109"/>
        <w:gridCol w:w="109"/>
        <w:gridCol w:w="351"/>
        <w:gridCol w:w="1453"/>
        <w:gridCol w:w="195"/>
        <w:gridCol w:w="109"/>
        <w:gridCol w:w="109"/>
        <w:gridCol w:w="109"/>
        <w:gridCol w:w="196"/>
        <w:gridCol w:w="886"/>
        <w:gridCol w:w="161"/>
      </w:tblGrid>
      <w:tr>
        <w:trPr/>
        <w:tc>
          <w:tcPr>
            <w:tcW w:w="99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7461"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179,228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(23,153)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156,075</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2,719,895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(219,544)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2,501,430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28,126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(5,486)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22,640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354,145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353,196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3,281,394</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1,174</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(249,227)</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3,033,341</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(22,252)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2,145,925 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(212,399)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1,934,918 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354,510 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353,394 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2,707,799 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(241,434)</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and December 31, 2025, the gross unrealized losses and fair values of available-for-sale investment securities that were in unrealized loss positions were as follows:</w:t>
      </w:r>
    </w:p>
    <w:tbl>
      <w:tblPr>
        <w:tblW w:w="10205" w:type="dxa"/>
        <w:jc w:val="left"/>
        <w:tblInd w:w="0" w:type="dxa"/>
        <w:tblLayout w:type="fixed"/>
        <w:tblCellMar>
          <w:top w:w="28" w:type="dxa"/>
          <w:left w:w="28" w:type="dxa"/>
          <w:bottom w:w="28" w:type="dxa"/>
          <w:right w:w="28" w:type="dxa"/>
        </w:tblCellMar>
      </w:tblPr>
      <w:tblGrid>
        <w:gridCol w:w="721"/>
        <w:gridCol w:w="630"/>
        <w:gridCol w:w="294"/>
        <w:gridCol w:w="196"/>
        <w:gridCol w:w="886"/>
        <w:gridCol w:w="109"/>
        <w:gridCol w:w="109"/>
        <w:gridCol w:w="109"/>
        <w:gridCol w:w="109"/>
        <w:gridCol w:w="224"/>
        <w:gridCol w:w="659"/>
        <w:gridCol w:w="126"/>
        <w:gridCol w:w="109"/>
        <w:gridCol w:w="109"/>
        <w:gridCol w:w="109"/>
        <w:gridCol w:w="196"/>
        <w:gridCol w:w="886"/>
        <w:gridCol w:w="109"/>
        <w:gridCol w:w="109"/>
        <w:gridCol w:w="109"/>
        <w:gridCol w:w="109"/>
        <w:gridCol w:w="202"/>
        <w:gridCol w:w="787"/>
        <w:gridCol w:w="112"/>
        <w:gridCol w:w="109"/>
        <w:gridCol w:w="109"/>
        <w:gridCol w:w="109"/>
        <w:gridCol w:w="198"/>
        <w:gridCol w:w="896"/>
        <w:gridCol w:w="110"/>
        <w:gridCol w:w="109"/>
        <w:gridCol w:w="109"/>
        <w:gridCol w:w="109"/>
        <w:gridCol w:w="214"/>
        <w:gridCol w:w="839"/>
        <w:gridCol w:w="176"/>
      </w:tblGrid>
      <w:tr>
        <w:trPr/>
        <w:tc>
          <w:tcPr>
            <w:tcW w:w="7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unrealized loss</w:t>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8560"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(23,153)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156,075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(23,153)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1,002,335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(4,158)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1,021,757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(215,386)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2,024,092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(219,544)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(5,486)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22,640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(5,486)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255,547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296,104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1,257,882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(5,062)</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1,241,029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(244,165)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2,498,911</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(249,227)</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(22,252)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1,554,098 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321,811 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826,487 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(2,966)</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1,228,953 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(238,468)</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2,055,440 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(241,434)</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investments generally consist of highly rated securities, substantially all of which are directly or indirectly backed by the U.S. federal government, as our investment policy restricts our investments to highly liquid, low credit risk assets. As such, we have not recorded any credit-related impairment loss during the three and six months ended June 30, 2026 or 2025 on our available-for-sale investment securities. Unrealized losses as of June 30, 2026 and December 31, 2025 are the result of increases in interest rates relative to when they were purchased as a portion of our investment portfolio is comprised of fixed rate securities. The underlying securities within our investment portfolio that were in an unrealized loss position as of June 30, 2026 and December 31, 2025 was due to the timing of our investment purchases, as a significant portion of our investments were purchased prior to increases in interest rates by the Board of Governors of the Federal Reserve (the "Federal Reserve"), and general volatility in market conditions.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Except as disclosed below, we do not currently intend to sell our remaining investments, and we have determined that it is more likely than not that we will not be required to sell our investments before recovery of their amortized cost bases, which may be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4—Investment Securities (continued)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April 2025, we sold certain available-for-sale securities in order to reposition the proceeds into higher yielding assets. As a result, we recorded a realized loss of approximately $24.8 million during the first half of 2025 because we no longer had the intent to hold the securities until recovery of their amortized cost bases. The losses were reflected as a component of other income and expense, net on our consolidated statement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the contractual maturities of our available-for-sale investment securities were as follows:</w:t>
      </w:r>
    </w:p>
    <w:tbl>
      <w:tblPr>
        <w:tblW w:w="5792" w:type="dxa"/>
        <w:jc w:val="left"/>
        <w:tblInd w:w="0" w:type="dxa"/>
        <w:tblLayout w:type="fixed"/>
        <w:tblCellMar>
          <w:top w:w="28" w:type="dxa"/>
          <w:left w:w="28" w:type="dxa"/>
          <w:bottom w:w="28" w:type="dxa"/>
          <w:right w:w="28" w:type="dxa"/>
        </w:tblCellMar>
      </w:tblPr>
      <w:tblGrid>
        <w:gridCol w:w="1061"/>
        <w:gridCol w:w="929"/>
        <w:gridCol w:w="934"/>
        <w:gridCol w:w="220"/>
        <w:gridCol w:w="978"/>
        <w:gridCol w:w="122"/>
        <w:gridCol w:w="109"/>
        <w:gridCol w:w="109"/>
        <w:gridCol w:w="109"/>
        <w:gridCol w:w="196"/>
        <w:gridCol w:w="871"/>
        <w:gridCol w:w="154"/>
      </w:tblGrid>
      <w:tr>
        <w:trPr/>
        <w:tc>
          <w:tcPr>
            <w:tcW w:w="10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after one year through five years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after five years through ten years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after ten years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and asset-backed securities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3,074,040 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2,854,626 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securities</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3,281,394 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3,033,341 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Arial;sans-serif" w:hAnsi="Arial;sans-serif"/>
          <w:b w:val="false"/>
          <w:color w:val="000000"/>
          <w:sz w:val="20"/>
        </w:rPr>
        <w:t xml:space="preserve">The expected payments on mortgage-backed and asset-backed securities may not coincide with their contractual maturities because the issuers have the right to call or prepay certain obligations. See </w:t>
      </w:r>
      <w:r>
        <w:rPr>
          <w:rFonts w:ascii="Arial;sans-serif" w:hAnsi="Arial;sans-serif"/>
          <w:b w:val="false"/>
          <w:i/>
          <w:color w:val="000000"/>
          <w:sz w:val="20"/>
        </w:rPr>
        <w:t>Note 2 — Summary of Significant Accounting Policies.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5—Accounts Receivable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Accounts receivable, net consisted of the following:</w:t>
      </w:r>
    </w:p>
    <w:tbl>
      <w:tblPr>
        <w:tblW w:w="8635" w:type="dxa"/>
        <w:jc w:val="left"/>
        <w:tblInd w:w="0" w:type="dxa"/>
        <w:tblLayout w:type="fixed"/>
        <w:tblCellMar>
          <w:top w:w="28" w:type="dxa"/>
          <w:left w:w="28" w:type="dxa"/>
          <w:bottom w:w="28" w:type="dxa"/>
          <w:right w:w="28" w:type="dxa"/>
        </w:tblCellMar>
      </w:tblPr>
      <w:tblGrid>
        <w:gridCol w:w="1998"/>
        <w:gridCol w:w="1757"/>
        <w:gridCol w:w="1765"/>
        <w:gridCol w:w="217"/>
        <w:gridCol w:w="832"/>
        <w:gridCol w:w="120"/>
        <w:gridCol w:w="109"/>
        <w:gridCol w:w="109"/>
        <w:gridCol w:w="109"/>
        <w:gridCol w:w="292"/>
        <w:gridCol w:w="1098"/>
        <w:gridCol w:w="229"/>
      </w:tblGrid>
      <w:tr>
        <w:trPr/>
        <w:tc>
          <w:tcPr>
            <w:tcW w:w="199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receivables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41,681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44,349 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for uncollectible trade receivables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trade receivables</w:t>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41,657</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44,210 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Overdrawn accountholder balances from purchase transactions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6,086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for uncollectible overdrawn accounts from purchase transactions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(993)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overdrawn accountholder balances from purchase transactions</w:t>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5,093</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3,958 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Accountholder fees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due from card issuing banks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 advances, net</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58,572 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85,435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86,690 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137,754</w:t>
            </w: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197,248 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Arial;sans-serif" w:hAnsi="Arial;sans-serif"/>
          <w:b w:val="false"/>
          <w:color w:val="000000"/>
          <w:sz w:val="20"/>
        </w:rPr>
        <w:t xml:space="preserve">Included within "other receivables" above is $40 million related to the settlement of a class-action lawsuit. See </w:t>
      </w:r>
      <w:r>
        <w:rPr>
          <w:rFonts w:ascii="Arial;sans-serif" w:hAnsi="Arial;sans-serif"/>
          <w:b w:val="false"/>
          <w:i/>
          <w:color w:val="000000"/>
          <w:sz w:val="20"/>
        </w:rPr>
        <w:t xml:space="preserve">Note 17—Commitments and Contingencies </w:t>
      </w:r>
      <w:r>
        <w:rPr>
          <w:rFonts w:ascii="Arial;sans-serif" w:hAnsi="Arial;sans-serif"/>
          <w:b w:val="false"/>
          <w:color w:val="000000"/>
          <w:sz w:val="20"/>
        </w:rPr>
        <w:t>for further information.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Activity in the reserve for uncollectible overdrawn accounts from purchase transactions consisted of the following:</w:t>
      </w:r>
    </w:p>
    <w:tbl>
      <w:tblPr>
        <w:tblW w:w="10205" w:type="dxa"/>
        <w:jc w:val="left"/>
        <w:tblInd w:w="0" w:type="dxa"/>
        <w:tblLayout w:type="fixed"/>
        <w:tblCellMar>
          <w:top w:w="28" w:type="dxa"/>
          <w:left w:w="28" w:type="dxa"/>
          <w:bottom w:w="28" w:type="dxa"/>
          <w:right w:w="28" w:type="dxa"/>
        </w:tblCellMar>
      </w:tblPr>
      <w:tblGrid>
        <w:gridCol w:w="1891"/>
        <w:gridCol w:w="1641"/>
        <w:gridCol w:w="1648"/>
        <w:gridCol w:w="229"/>
        <w:gridCol w:w="670"/>
        <w:gridCol w:w="127"/>
        <w:gridCol w:w="127"/>
        <w:gridCol w:w="127"/>
        <w:gridCol w:w="127"/>
        <w:gridCol w:w="229"/>
        <w:gridCol w:w="653"/>
        <w:gridCol w:w="127"/>
        <w:gridCol w:w="109"/>
        <w:gridCol w:w="109"/>
        <w:gridCol w:w="109"/>
        <w:gridCol w:w="211"/>
        <w:gridCol w:w="616"/>
        <w:gridCol w:w="117"/>
        <w:gridCol w:w="117"/>
        <w:gridCol w:w="117"/>
        <w:gridCol w:w="117"/>
        <w:gridCol w:w="211"/>
        <w:gridCol w:w="600"/>
        <w:gridCol w:w="176"/>
      </w:tblGrid>
      <w:tr>
        <w:trPr/>
        <w:tc>
          <w:tcPr>
            <w:tcW w:w="189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period</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uncollectible overdrawn accounts from purchase transactions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Charge-offs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period</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993</w:t>
            </w:r>
            <w:r>
              <w:rPr>
                <w:color w:val="000000"/>
              </w:rPr>
              <w:t>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993</w:t>
            </w: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6—Loans to Bank Customers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total outstanding loans, gross of the related allowance for credit losses, and a summary of the related payment status:</w:t>
      </w:r>
    </w:p>
    <w:tbl>
      <w:tblPr>
        <w:tblW w:w="10205" w:type="dxa"/>
        <w:jc w:val="left"/>
        <w:tblInd w:w="0" w:type="dxa"/>
        <w:tblLayout w:type="fixed"/>
        <w:tblCellMar>
          <w:top w:w="28" w:type="dxa"/>
          <w:left w:w="28" w:type="dxa"/>
          <w:bottom w:w="28" w:type="dxa"/>
          <w:right w:w="28" w:type="dxa"/>
        </w:tblCellMar>
      </w:tblPr>
      <w:tblGrid>
        <w:gridCol w:w="489"/>
        <w:gridCol w:w="427"/>
        <w:gridCol w:w="278"/>
        <w:gridCol w:w="221"/>
        <w:gridCol w:w="646"/>
        <w:gridCol w:w="289"/>
        <w:gridCol w:w="109"/>
        <w:gridCol w:w="109"/>
        <w:gridCol w:w="109"/>
        <w:gridCol w:w="231"/>
        <w:gridCol w:w="515"/>
        <w:gridCol w:w="302"/>
        <w:gridCol w:w="109"/>
        <w:gridCol w:w="109"/>
        <w:gridCol w:w="109"/>
        <w:gridCol w:w="237"/>
        <w:gridCol w:w="691"/>
        <w:gridCol w:w="309"/>
        <w:gridCol w:w="109"/>
        <w:gridCol w:w="109"/>
        <w:gridCol w:w="109"/>
        <w:gridCol w:w="204"/>
        <w:gridCol w:w="597"/>
        <w:gridCol w:w="267"/>
        <w:gridCol w:w="109"/>
        <w:gridCol w:w="109"/>
        <w:gridCol w:w="109"/>
        <w:gridCol w:w="283"/>
        <w:gridCol w:w="957"/>
        <w:gridCol w:w="370"/>
        <w:gridCol w:w="109"/>
        <w:gridCol w:w="109"/>
        <w:gridCol w:w="109"/>
        <w:gridCol w:w="210"/>
        <w:gridCol w:w="711"/>
        <w:gridCol w:w="336"/>
      </w:tblGrid>
      <w:tr>
        <w:trPr/>
        <w:tc>
          <w:tcPr>
            <w:tcW w:w="48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60-89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90 Days or More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Current or Less Than 30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Outstanding</w:t>
            </w:r>
          </w:p>
        </w:tc>
      </w:tr>
      <w:tr>
        <w:trPr/>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9011"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7,519</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7,519</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2,678</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2,678</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3,978</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3,978</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1,996</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1,996</w:t>
            </w: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57,322</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59,318</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480</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w:t>
            </w: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1,454</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2,403</w:t>
            </w: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6,361</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8,764</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2,476</w:t>
            </w:r>
            <w:r>
              <w:rPr>
                <w:color w:val="000000"/>
              </w:rPr>
              <w:t> </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w:t>
            </w:r>
            <w:r>
              <w:rPr>
                <w:color w:val="000000"/>
              </w:rPr>
              <w:t>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1,454</w:t>
            </w:r>
            <w:r>
              <w:rPr>
                <w:color w:val="000000"/>
              </w:rPr>
              <w:t>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4,399</w:t>
            </w:r>
            <w:r>
              <w:rPr>
                <w:color w:val="000000"/>
              </w:rPr>
              <w:t> </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77,858</w:t>
            </w:r>
            <w:r>
              <w:rPr>
                <w:color w:val="000000"/>
              </w:rPr>
              <w:t> </w:t>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82,257</w:t>
            </w:r>
            <w:r>
              <w:rPr>
                <w:color w:val="000000"/>
              </w:rPr>
              <w:t>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Percentage of outstanding</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94.6</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28,124 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7,682 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2,329 </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4,753 </w:t>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72,000 </w:t>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76,753 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Percentage of outstanding</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offer an optional overdraft protection program service on certain demand deposit account programs that allows customers who opt-in and meet certain criteria to spend up to a pre-authorized amount in excess of their available account balance. When overdrawn, the purchase related balances due on these deposit accounts are reclassified as consumer loans. Fees due from our accountholders for our overdraft service are included as a component of accounts receivable. Overdrawn balances are unsecured and considered immediately due from the customer. Also included in consumer loans are advances made to taxpayers under our tax advance program. These loan balances generally fluctuate over the first half of each year due to the seasonal nature of these advances.</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Nonperforming Loans</w:t>
      </w:r>
    </w:p>
    <w:p>
      <w:pPr>
        <w:pStyle w:val="TextBody"/>
        <w:bidi w:val="0"/>
        <w:spacing w:lineRule="auto" w:line="288" w:before="120" w:after="120"/>
        <w:ind w:left="0" w:right="0" w:firstLine="360"/>
        <w:jc w:val="both"/>
        <w:rPr/>
      </w:pPr>
      <w:r>
        <w:rPr>
          <w:rFonts w:ascii="Arial;sans-serif" w:hAnsi="Arial;sans-serif"/>
          <w:b w:val="false"/>
          <w:color w:val="000000"/>
          <w:sz w:val="20"/>
        </w:rPr>
        <w:t xml:space="preserve">The following table presents the carrying value, gross of the related allowance for credit losses, of our nonperforming loans. See </w:t>
      </w:r>
      <w:r>
        <w:rPr>
          <w:rFonts w:ascii="Arial;sans-serif" w:hAnsi="Arial;sans-serif"/>
          <w:b w:val="false"/>
          <w:i/>
          <w:color w:val="000000"/>
          <w:sz w:val="20"/>
        </w:rPr>
        <w:t>Note 2 — Summary of Significant Accounting Policies</w:t>
      </w:r>
      <w:r>
        <w:rPr>
          <w:color w:val="000000"/>
        </w:rPr>
        <w:t> </w:t>
      </w:r>
      <w:r>
        <w:rPr>
          <w:rFonts w:ascii="Arial;sans-serif" w:hAnsi="Arial;sans-serif"/>
          <w:b w:val="false"/>
          <w:color w:val="000000"/>
          <w:sz w:val="20"/>
        </w:rPr>
        <w:t>to the Consolidated Financial Statements of our Annual Report on Form 10-K for the year ended December 31, 2025 for further information on the criteria for classification as nonperforming.</w:t>
      </w:r>
    </w:p>
    <w:tbl>
      <w:tblPr>
        <w:tblW w:w="4675" w:type="dxa"/>
        <w:jc w:val="left"/>
        <w:tblInd w:w="0" w:type="dxa"/>
        <w:tblLayout w:type="fixed"/>
        <w:tblCellMar>
          <w:top w:w="28" w:type="dxa"/>
          <w:left w:w="28" w:type="dxa"/>
          <w:bottom w:w="28" w:type="dxa"/>
          <w:right w:w="28" w:type="dxa"/>
        </w:tblCellMar>
      </w:tblPr>
      <w:tblGrid>
        <w:gridCol w:w="565"/>
        <w:gridCol w:w="495"/>
        <w:gridCol w:w="499"/>
        <w:gridCol w:w="262"/>
        <w:gridCol w:w="763"/>
        <w:gridCol w:w="145"/>
        <w:gridCol w:w="109"/>
        <w:gridCol w:w="109"/>
        <w:gridCol w:w="109"/>
        <w:gridCol w:w="349"/>
        <w:gridCol w:w="993"/>
        <w:gridCol w:w="277"/>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1,454</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1,465</w:t>
            </w:r>
            <w:r>
              <w:rPr>
                <w:color w:val="000000"/>
              </w:rPr>
              <w:t>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1,854 </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Credit Quality Indicators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closely monitor and assess the credit quality and credit risk of our loan portfolio on an ongoing basis. We continuously review and update loan risk classifications. We evaluate our loans using non-classified or classified as the primary credit quality indicator. Classified loans include those designated as substandard, doubtful, or loss, consistent with regulatory guidelines. Secured credit card loans are considered classified if they are greater than 90 days past due. However, our secured credit card portfolio is collateralized by cash deposits made by each accountholder in an amount equal to the user's available credit limit, which mitigates the risk of any significant credit losses we expect to incur.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6—Loans to Bank Customers (continued)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carrying value, gross of the related allowance for credit losses, of our loans within the primary credit quality indicators related to our loan portfolio:</w:t>
      </w:r>
    </w:p>
    <w:tbl>
      <w:tblPr>
        <w:tblW w:w="6909" w:type="dxa"/>
        <w:jc w:val="left"/>
        <w:tblInd w:w="0" w:type="dxa"/>
        <w:tblLayout w:type="fixed"/>
        <w:tblCellMar>
          <w:top w:w="28" w:type="dxa"/>
          <w:left w:w="28" w:type="dxa"/>
          <w:bottom w:w="28" w:type="dxa"/>
          <w:right w:w="28" w:type="dxa"/>
        </w:tblCellMar>
      </w:tblPr>
      <w:tblGrid>
        <w:gridCol w:w="565"/>
        <w:gridCol w:w="494"/>
        <w:gridCol w:w="500"/>
        <w:gridCol w:w="258"/>
        <w:gridCol w:w="873"/>
        <w:gridCol w:w="145"/>
        <w:gridCol w:w="109"/>
        <w:gridCol w:w="109"/>
        <w:gridCol w:w="109"/>
        <w:gridCol w:w="198"/>
        <w:gridCol w:w="577"/>
        <w:gridCol w:w="111"/>
        <w:gridCol w:w="109"/>
        <w:gridCol w:w="109"/>
        <w:gridCol w:w="109"/>
        <w:gridCol w:w="258"/>
        <w:gridCol w:w="873"/>
        <w:gridCol w:w="145"/>
        <w:gridCol w:w="109"/>
        <w:gridCol w:w="109"/>
        <w:gridCol w:w="109"/>
        <w:gridCol w:w="198"/>
        <w:gridCol w:w="577"/>
        <w:gridCol w:w="156"/>
      </w:tblGrid>
      <w:tr>
        <w:trPr/>
        <w:tc>
          <w:tcPr>
            <w:tcW w:w="5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Non-Classified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Non-Classified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Classified</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7,508</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2,678</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Installment</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59,318</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credit card</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7,310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80,604</w:t>
            </w:r>
            <w:r>
              <w:rPr>
                <w:color w:val="000000"/>
              </w:rPr>
              <w:t>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1,653</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73,985</w:t>
            </w:r>
            <w:r>
              <w:rPr>
                <w:color w:val="000000"/>
              </w:rPr>
              <w:t>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2,768</w:t>
            </w: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Allowance for Credit Losses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Activity in the allowance for credit losses on our loan portfolio consisted of the following:</w:t>
      </w:r>
    </w:p>
    <w:tbl>
      <w:tblPr>
        <w:tblW w:w="8313" w:type="dxa"/>
        <w:jc w:val="left"/>
        <w:tblInd w:w="0" w:type="dxa"/>
        <w:tblLayout w:type="fixed"/>
        <w:tblCellMar>
          <w:top w:w="28" w:type="dxa"/>
          <w:left w:w="28" w:type="dxa"/>
          <w:bottom w:w="28" w:type="dxa"/>
          <w:right w:w="28" w:type="dxa"/>
        </w:tblCellMar>
      </w:tblPr>
      <w:tblGrid>
        <w:gridCol w:w="1173"/>
        <w:gridCol w:w="1031"/>
        <w:gridCol w:w="1035"/>
        <w:gridCol w:w="214"/>
        <w:gridCol w:w="724"/>
        <w:gridCol w:w="119"/>
        <w:gridCol w:w="119"/>
        <w:gridCol w:w="119"/>
        <w:gridCol w:w="119"/>
        <w:gridCol w:w="214"/>
        <w:gridCol w:w="708"/>
        <w:gridCol w:w="119"/>
        <w:gridCol w:w="109"/>
        <w:gridCol w:w="109"/>
        <w:gridCol w:w="109"/>
        <w:gridCol w:w="196"/>
        <w:gridCol w:w="663"/>
        <w:gridCol w:w="109"/>
        <w:gridCol w:w="109"/>
        <w:gridCol w:w="109"/>
        <w:gridCol w:w="109"/>
        <w:gridCol w:w="196"/>
        <w:gridCol w:w="647"/>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period</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21,645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loans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12,655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charged off</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(5,772)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Recoveries of loans previously charged off</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9,448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period</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38,005</w:t>
            </w:r>
            <w:r>
              <w:rPr>
                <w:color w:val="000000"/>
              </w:rPr>
              <w:t>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22,406 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7—Equity Method Investments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January 2, 2020, we effectuated our agreement with Walmart to jointly establish a new fintech accelerator under the name TailFin Labs, LLC (“TailFin”), with a mission to develop innovative products, services and technologies that sit at the intersection of retail shopping and consumer financial services. The entity is majority-owned by Walmart and was formed with a focus on developing tech-enabled solutions to integrate omni-channel retail shopping and financial services. We hold a 20% ownership interest in the entity, in exchange for annual capital contributions of $35.0 million per year that were made from January 2020 through January 2024. Our final payment under this commitment was made in January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account for our investment in TailFin under the equity method of accounting in accordance with ASC 323, Investments – Equity Method and Joint Ventures. Under the equity method of accounting, the initial investment is recorded at cost and the investment is subsequently adjusted for, among other things, its proportionate share of earnings or losses. However, given the capital structure of the TailFin arrangement, we apply the Hypothetical Liquidation Book Value ("HLBV") method to determine the allocation of profits and losses since our liquidation rights and priorities, as defined by the agreement, differ from our underlying ownership interest. The HLBV method calculates the proceeds that would be attributable to each partner in an investment based on the liquidation provisions of the agreement if the partnership was to be liquidated at book value as of the balance sheet date. Each partner’s allocation of income or loss in the period is equal to the change in the amount of net equity they are legally able to claim based on a hypothetical liquidation of the entity at the end of a reporting period compared to the beginning of that period, adjusted for any capital transactions. Based on the terms of the agreement and under the HLBV method, we are entitled to 20% of any net profits, but assume 100% of any net losses.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Since inception, TailFin has incurred operating expenses, but has not generated any operating revenues to date. Use of capital has been primarily allocated to marketing of Walmart's deposit account program and for employee salaries and other professional services focused on developing TailFin's project initiatives. While TailFin's overall objectives have remained unchanged, it is uncertain whether any new products or services will be successfully introduced through the venture. Any future economic benefits derived from products or services developed by TailFin will be negotiated on a case-by-case basis between the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7—Equity Method Investments (continued)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June 30, 2026 and December 31, 2025, our net investment in TailFin amounted to approximately $38.3 million and $41.8 million, respectively, and is included in the long-term portion of prepaid expenses and other assets on our consolidated balance sheets. Under the HLBV method and based on the terms of the agreement, we recorded equity in losses attributable to TailFin of approximately $1.8 million and $75.8 million for the three months ended June 30, 2026 and 2025, respectively, and $3.4 million and $78.5 million for the six months ended June 30, 2026 and 2025, respectively. These amounts are recorded as a component of other income and expense, net on our consolidated statements of operations.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April 2025, we entered into an amendment which provides for us to continue serving as the issuing bank and program manager for the Walmart MoneyCard suite of reloadable debit card products, and entered into additional amendments pursuant to which we distribute our various products and services, including certain Green Dot-branded products and reload services through the Green Dot Network, at Walmart stores (collectively, the “Agreements”). The amended term of the Agreements expires on January 31, 2033, subject to an automatic one-year renewal provision under the terms of the arrangements. In consideration of the amended Agreements, we and the assignee of Walmart Inc. and its subsidiary parties, RNBW Ventures Inc. (“RNBW”), agreed to cause TailFin to pay RNBW a one-time, non-refundable incentive payment in the amount of $70 million, which we recorded as a component of equity in losses attributable to TailFin during the second quarter of 2025 under our HLBV method of accounting.</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summarized financial information of TailFin's statements of operations.</w:t>
      </w:r>
    </w:p>
    <w:tbl>
      <w:tblPr>
        <w:tblW w:w="8208" w:type="dxa"/>
        <w:jc w:val="left"/>
        <w:tblInd w:w="0" w:type="dxa"/>
        <w:tblLayout w:type="fixed"/>
        <w:tblCellMar>
          <w:top w:w="28" w:type="dxa"/>
          <w:left w:w="28" w:type="dxa"/>
          <w:bottom w:w="28" w:type="dxa"/>
          <w:right w:w="28" w:type="dxa"/>
        </w:tblCellMar>
      </w:tblPr>
      <w:tblGrid>
        <w:gridCol w:w="1119"/>
        <w:gridCol w:w="983"/>
        <w:gridCol w:w="987"/>
        <w:gridCol w:w="210"/>
        <w:gridCol w:w="678"/>
        <w:gridCol w:w="117"/>
        <w:gridCol w:w="117"/>
        <w:gridCol w:w="117"/>
        <w:gridCol w:w="117"/>
        <w:gridCol w:w="210"/>
        <w:gridCol w:w="775"/>
        <w:gridCol w:w="117"/>
        <w:gridCol w:w="109"/>
        <w:gridCol w:w="109"/>
        <w:gridCol w:w="109"/>
        <w:gridCol w:w="196"/>
        <w:gridCol w:w="631"/>
        <w:gridCol w:w="109"/>
        <w:gridCol w:w="109"/>
        <w:gridCol w:w="109"/>
        <w:gridCol w:w="109"/>
        <w:gridCol w:w="196"/>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professional services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(1,779)</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(7,255)</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Investor HLBV basis adjustment </w:t>
            </w:r>
            <w:r>
              <w:rPr>
                <w:rFonts w:ascii="Arial;sans-serif" w:hAnsi="Arial;sans-serif"/>
                <w:b w:val="false"/>
                <w:color w:val="000000"/>
                <w:sz w:val="10"/>
              </w:rPr>
              <w:t>(1)</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(68,495)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attributable to TailFin</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(1,779)</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(75,750)</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(3,439)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(78,508)</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incentive payment of $70 million has been recorded as a deferred asset on TailFin’s balance sheet and will be amortized over the revised term of the Agreements through 2033. Under the HLBV method and based on the terms of the agreement, we expensed the amount upon payment.</w:t>
            </w:r>
          </w:p>
        </w:tc>
      </w:tr>
    </w:tbl>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Other equity method investments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equity method investments also include an investment held by our bank, which amounted to $3.4 million and $3.0 million, respectively, as of June 30, 2026 and December 31, 2025. Equity in earnings and losses from this investment for the three and six months ended June 30, 2026 and 2025 were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8—Deposits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Deposits are categorized as non-interest bearing or interest-bearing deposit accounts as follows:</w:t>
      </w:r>
    </w:p>
    <w:tbl>
      <w:tblPr>
        <w:tblW w:w="7563" w:type="dxa"/>
        <w:jc w:val="left"/>
        <w:tblInd w:w="0" w:type="dxa"/>
        <w:tblLayout w:type="fixed"/>
        <w:tblCellMar>
          <w:top w:w="28" w:type="dxa"/>
          <w:left w:w="28" w:type="dxa"/>
          <w:bottom w:w="28" w:type="dxa"/>
          <w:right w:w="28" w:type="dxa"/>
        </w:tblCellMar>
      </w:tblPr>
      <w:tblGrid>
        <w:gridCol w:w="1604"/>
        <w:gridCol w:w="1408"/>
        <w:gridCol w:w="1413"/>
        <w:gridCol w:w="196"/>
        <w:gridCol w:w="886"/>
        <w:gridCol w:w="109"/>
        <w:gridCol w:w="109"/>
        <w:gridCol w:w="109"/>
        <w:gridCol w:w="109"/>
        <w:gridCol w:w="260"/>
        <w:gridCol w:w="1156"/>
        <w:gridCol w:w="204"/>
      </w:tblGrid>
      <w:tr>
        <w:trPr/>
        <w:tc>
          <w:tcPr>
            <w:tcW w:w="16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bearing deposit accounts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4,466,083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4,275,794 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 accounts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Checking accounts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159,237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card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greater than or equal to $250</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 denominations less than $250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 accounts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174,246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140,500 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deposits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4,640,329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4,416,294 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8—Deposits (continued)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scheduled contractual maturities for total time deposits are presented in the table below:</w:t>
      </w:r>
    </w:p>
    <w:tbl>
      <w:tblPr>
        <w:tblW w:w="2803" w:type="dxa"/>
        <w:jc w:val="left"/>
        <w:tblInd w:w="0" w:type="dxa"/>
        <w:tblLayout w:type="fixed"/>
        <w:tblCellMar>
          <w:top w:w="28" w:type="dxa"/>
          <w:left w:w="28" w:type="dxa"/>
          <w:bottom w:w="28" w:type="dxa"/>
          <w:right w:w="28" w:type="dxa"/>
        </w:tblCellMar>
      </w:tblPr>
      <w:tblGrid>
        <w:gridCol w:w="537"/>
        <w:gridCol w:w="472"/>
        <w:gridCol w:w="475"/>
        <w:gridCol w:w="285"/>
        <w:gridCol w:w="811"/>
        <w:gridCol w:w="223"/>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2026</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2027</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2028</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2029</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in 2030</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time deposits</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6,167 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9—Debt</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Senior Unsecured Notes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2024 and 2025, we issued and sold senior unsecured notes (the "Notes") in an aggregate principal amount of $65 million. The Notes have a five-year term, maturing September 15, 2029. The principal amounts bear interest at a fixed rate of 8.75% per annum, payable semi-annually in arrears.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Prior to March 15, 2029, we may redeem at our option, the Notes in whole or in part at any time at a redemption price equal to 100% of the outstanding principal amount to be redeemed, together with accrued but unpaid interest thereon, plus a make-whole amount. On and after March 15, 2029, we may redeem the Notes at 100% of the principal amount, plus accrued and unpaid interest thereon.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Notes are unsecured, senior obligations and are not guaranteed by any of our subsidiaries. The Notes are junior in right of payment to existing and future secured indebtedness. As of June 30, 2026, we were in compliance with all affirmative and negative covenants thereunder. The net proceeds of the offering were used to repay outstanding indebtedness under a previous revolving credit facility, and for general corporate purposes.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the outstanding long-term debt balance, at amortized cost:</w:t>
      </w:r>
    </w:p>
    <w:tbl>
      <w:tblPr>
        <w:tblW w:w="7856" w:type="dxa"/>
        <w:jc w:val="left"/>
        <w:tblInd w:w="0" w:type="dxa"/>
        <w:tblLayout w:type="fixed"/>
        <w:tblCellMar>
          <w:top w:w="28" w:type="dxa"/>
          <w:left w:w="28" w:type="dxa"/>
          <w:bottom w:w="28" w:type="dxa"/>
          <w:right w:w="28" w:type="dxa"/>
        </w:tblCellMar>
      </w:tblPr>
      <w:tblGrid>
        <w:gridCol w:w="1716"/>
        <w:gridCol w:w="1509"/>
        <w:gridCol w:w="1515"/>
        <w:gridCol w:w="237"/>
        <w:gridCol w:w="801"/>
        <w:gridCol w:w="132"/>
        <w:gridCol w:w="109"/>
        <w:gridCol w:w="109"/>
        <w:gridCol w:w="109"/>
        <w:gridCol w:w="318"/>
        <w:gridCol w:w="1051"/>
        <w:gridCol w:w="250"/>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unsecured notes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65,000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65,000 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discount and issuance costs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(1,261)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payable, net of unamortized discount and issuance costs</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63,739</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63,541 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incurred total cash interest expense on our debt of approximately $1.4 million during each of the three months ended June 30, 2026 and 2025, and $2.8 million and $2.7 million during the six months ended June 30, 2026 and 2025, respectively.</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FHLB Advances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Green Dot Bank has the ability to access various sources of funding, including advances from the Federal Home Loan Bank ("FHLB") and the Federal Reserve's discount window. Availability of these borrowings is subject to various factors, including maintaining eligibility requirements and the amount of pledged collateral. These sources may be used from time to time to support our short-term liquidity needs and lines of business. There were no net borrowings outstanding with the FHLB as of June 30, 2026 or December 31, 2025. Interest expense incurred on FHLB borrowings in fiscal years 2026 or 2025 were not material. </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2025 Revolving Facility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February 2025, we entered into a new revolving line of credit agreement with a financial institution up to a maximum principal amount of $20 million, subject to borrowing base limitations defined under the terms of the agreement. The line of credit matures in August 2027 and will bear interest at variable market rates, but subject to a minimum rate of 6.0% per annum. Interest payments are due monthly, and accrue based on the then-outstanding principal balance. We had no outstanding balances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bookmarkStart w:id="1" w:name="i13c9bc1f0c60477f86be53f5722981b5_5946"/>
      <w:bookmarkEnd w:id="1"/>
      <w:r>
        <w:rPr>
          <w:rFonts w:ascii="Arial;sans-serif" w:hAnsi="Arial;sans-serif"/>
          <w:b/>
          <w:color w:val="000000"/>
          <w:sz w:val="20"/>
        </w:rPr>
        <w:t>Note 10—Income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income tax expense for the six months ended June 30, 2026 and 2025 differs from the amount computed by applying the statutory federal income tax rate to income before income taxes. The sources and tax effects of the differences are as follows:</w:t>
      </w:r>
    </w:p>
    <w:tbl>
      <w:tblPr>
        <w:tblW w:w="5827" w:type="dxa"/>
        <w:jc w:val="left"/>
        <w:tblInd w:w="0" w:type="dxa"/>
        <w:tblLayout w:type="fixed"/>
        <w:tblCellMar>
          <w:top w:w="28" w:type="dxa"/>
          <w:left w:w="28" w:type="dxa"/>
          <w:bottom w:w="28" w:type="dxa"/>
          <w:right w:w="28" w:type="dxa"/>
        </w:tblCellMar>
      </w:tblPr>
      <w:tblGrid>
        <w:gridCol w:w="1210"/>
        <w:gridCol w:w="1065"/>
        <w:gridCol w:w="1070"/>
        <w:gridCol w:w="240"/>
        <w:gridCol w:w="241"/>
        <w:gridCol w:w="445"/>
        <w:gridCol w:w="189"/>
        <w:gridCol w:w="189"/>
        <w:gridCol w:w="189"/>
        <w:gridCol w:w="233"/>
        <w:gridCol w:w="233"/>
        <w:gridCol w:w="523"/>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tax rate</w:t>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tax benefit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rate differential</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business credits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IRC 162(m) limitation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(0.4)</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Bank-owned life insurance income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expenses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w:t>
            </w: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transaction related costs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w:t>
            </w: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intangible low-tax income tax</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w:t>
            </w: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w:t>
            </w:r>
            <w:r>
              <w:rPr>
                <w:color w:val="000000"/>
              </w:rPr>
              <w:t> </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pPr>
      <w:r>
        <w:rPr>
          <w:rFonts w:ascii="Arial;sans-serif" w:hAnsi="Arial;sans-serif"/>
          <w:b w:val="false"/>
          <w:color w:val="000000"/>
          <w:sz w:val="20"/>
        </w:rPr>
        <w:t>The effective tax rate for the six months ended June 30, 2026 and 2025 differs from the statutory federal income tax rate of 21%, primarily due to state income taxes, net of federal tax benefits, general business credits, stock-based compensation, cash surrender value growth in bank owned life insurance policies, the Internal Revenue Code (the "IRC") 162(m) limitation on the deductibility of executive compensation, and the change in valuation allowance. The net decrease in the effective tax rate for the six months ended June 30, 2026 from the prior year comparable period was due to several factors, including a decrease of $1.4 million in tax expense associated with shortfalls from stock-based compensation, an increase of $0.9 million in the tax benefit from the cash surrender value in bank-owned life insurance policies, and a higher tax rate benefit due to an increase of $1.0 million in general business credits. These decreases were partially offset by an increase of $2.7 million in state income taxes expense, net of federal benefits, an increase of $0.4 million in the amount of compensation expense that was subject to the IRC 162(m) limitation on the deductibility of certain executive compensation, an increase of $0.4 million in nondeductible transaction related costs, and an increase in the valuation allowance recorded against our 2026 federal and state research credits. For the six months ended June 30, 2026, we recorded valuation allowances of $1.1 million</w:t>
      </w:r>
      <w:r>
        <w:rPr>
          <w:color w:val="000000"/>
        </w:rPr>
        <w:t xml:space="preserve"> </w:t>
      </w:r>
      <w:r>
        <w:rPr>
          <w:rFonts w:ascii="Arial;sans-serif" w:hAnsi="Arial;sans-serif"/>
          <w:b w:val="false"/>
          <w:color w:val="000000"/>
          <w:sz w:val="20"/>
        </w:rPr>
        <w:t xml:space="preserve">against our 2026 federal research credits, which is reflected in change in valuation allowance, and $1.1 million against our 2026 state research credits, reflected in state income taxes, net of federal tax benefit in our effective tax rate reconciliation.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made a policy election to account for Global Intangible Low-Taxed Income ("GILTI") in the year the GILTI tax is incurred. For the six months ended June 30, 2026 and 2025, the provision for GILTI tax expense was not material to our financial statements.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establish a valuation allowance when we consider it more-likely-than-not that some portion or all of the deferred tax assets will not be realized. As of June 30, 2026, we have a valuation allowance recorded against our 2026 federal research credits, state research credits, certain state net operating loss carryforwards, a portion of our capital loss carryforwards, and the deferred tax assets of our China subsidiary as we believe it is more-likely-than-not that the tax benefits related to these items will not be realized. During the six months ended June 30, 2026, we recorded a valuation allowance of approximately $2.2 million against our 2026 federal and state research credits as we determined it was more-likely-than-not that the benefit of these credits would not be realized; accordingly, no tax benefit was recognized for the 2026 federal and state research credits in the current period. All other valuation allowances previously recorded as of December 31, 2025 remained unchanged. As of December 31, 2025, we recorded a valuation allowance of approximately $21.6 million against our state research credits, certain state net operating loss carryforwards, a portion of our capital loss carryforwards, and the deferred tax assets of our China subsidiary as we determined it was more-likely-than-not that the tax benefits related to these items would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10—Income Taxes (continued)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subject to examination by the Internal Revenue Service (the "IRS"), and various state tax authorities. We remain subject to examination of our federal income tax returns for the years ended December 31, 2022 through 2025. We generally remain subject to examination of our various state income tax returns for a period of four to five years from the respective dates that the returns were filed.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June 30, 2026, we had federal net operating loss carryforwards of approximately $304.9 million, state net operating loss carryforwards of approximately $309.1 million, and capital loss carryforwards of approximately $2.5 million which will be available to offset future income. In regard to the federal net operating loss carryforwards, $9.0 million will expire between 2030 and 2034 and are subject to an annual IRC Section 382 limitation which restricts their utilization against taxable income in future periods, while the remaining balance of approximately $294.0 million does not expire and carries forward indefinitely. Of our total state net operating loss carryforwards, approximately $192.5 million will expire between 2028 and 2045, while the remaining balance of approximately $116.6 million does not expire and carries forward indefinitely. The capital loss carryforwards will expire in 2030. In addition, we have federal business tax credits of approximately $1.6 million that can be carried forward indefinitely and we have state business tax credits of approximately $24.4 million that can be carried forward indefinitely.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and December 31, 2025, we had a liability of $12.4 million and $11.4 million, respectively, for unrecognized tax benefits related to various federal and state income tax matters excluding interest, penalties and related tax benefits. The reconciliation of the beginning unrecognized tax benefits balance to the ending balance is as follows:</w:t>
      </w:r>
    </w:p>
    <w:tbl>
      <w:tblPr>
        <w:tblW w:w="9597" w:type="dxa"/>
        <w:jc w:val="left"/>
        <w:tblInd w:w="0" w:type="dxa"/>
        <w:tblLayout w:type="fixed"/>
        <w:tblCellMar>
          <w:top w:w="28" w:type="dxa"/>
          <w:left w:w="28" w:type="dxa"/>
          <w:bottom w:w="28" w:type="dxa"/>
          <w:right w:w="28" w:type="dxa"/>
        </w:tblCellMar>
      </w:tblPr>
      <w:tblGrid>
        <w:gridCol w:w="2645"/>
        <w:gridCol w:w="2325"/>
        <w:gridCol w:w="2335"/>
        <w:gridCol w:w="196"/>
        <w:gridCol w:w="663"/>
        <w:gridCol w:w="109"/>
        <w:gridCol w:w="109"/>
        <w:gridCol w:w="109"/>
        <w:gridCol w:w="109"/>
        <w:gridCol w:w="196"/>
        <w:gridCol w:w="647"/>
        <w:gridCol w:w="154"/>
      </w:tblGrid>
      <w:tr>
        <w:trPr/>
        <w:tc>
          <w:tcPr>
            <w:tcW w:w="264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Increases related to positions taken during the current year</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The total amount of unrecognized tax benefits that, if recognized, would affect the effective tax rate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and 2025, we recognized accrued interest and penalties related to unrecognized tax benefits of approximately $1.4 million and $2.0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11—Stockholders' Equity</w:t>
      </w:r>
    </w:p>
    <w:p>
      <w:pPr>
        <w:pStyle w:val="TextBody"/>
        <w:bidi w:val="0"/>
        <w:spacing w:lineRule="auto" w:line="288" w:before="120" w:after="283"/>
        <w:ind w:left="0" w:right="0" w:firstLine="360"/>
        <w:jc w:val="both"/>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February 2022, our Board of Directors authorized a $100 million increase to our stock repurchase program. As of June 30, 2026, we had an authorized $4.5 million remaining under our stock repurchase program for additional repurchases. There were no repurchases during the six months ended June 30, 2026. Pursuant to the Merger Agreement and the Separation Agreement, we are restricted from making further repurchases without the approval of CommerceOne and Payments Buyer,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12—Stock-Based Compensation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grant restricted stock unit awards to employees, directors and non-employee consultants under our 2010 Equity Incentive Plan and from time to time may also grant stock option awards. Through our 2010 Employee Stock Purchase Plan, employees are also able to purchase shares of our Class A common stock at a discount through payroll deductions. We have reserved shares of our Class A common stock for issuance under these plans. The total stock-based compensation expense recognized was $3.3 million and $5.7 million for the three months ended June 30, 2026 and 2025, respectively, and $7.8 million and $8.8 million for the six months ended June 30, 2026 and 2025, respectively.</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Restricted Stock Units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Restricted stock unit activity for awards subject to only service conditions was as follows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12—Stock-Based Compensation (continued)</w:t>
      </w:r>
    </w:p>
    <w:tbl>
      <w:tblPr>
        <w:tblW w:w="7514" w:type="dxa"/>
        <w:jc w:val="left"/>
        <w:tblInd w:w="0" w:type="dxa"/>
        <w:tblLayout w:type="fixed"/>
        <w:tblCellMar>
          <w:top w:w="28" w:type="dxa"/>
          <w:left w:w="28" w:type="dxa"/>
          <w:bottom w:w="28" w:type="dxa"/>
          <w:right w:w="28" w:type="dxa"/>
        </w:tblCellMar>
      </w:tblPr>
      <w:tblGrid>
        <w:gridCol w:w="966"/>
        <w:gridCol w:w="849"/>
        <w:gridCol w:w="854"/>
        <w:gridCol w:w="109"/>
        <w:gridCol w:w="109"/>
        <w:gridCol w:w="109"/>
        <w:gridCol w:w="314"/>
        <w:gridCol w:w="316"/>
        <w:gridCol w:w="216"/>
        <w:gridCol w:w="109"/>
        <w:gridCol w:w="109"/>
        <w:gridCol w:w="109"/>
        <w:gridCol w:w="802"/>
        <w:gridCol w:w="1910"/>
        <w:gridCol w:w="633"/>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Grant-Date Fair Value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1,894 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6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Performance-Based Restricted Stock Units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Performance-based restricted stock unit activity for the six months ended June 30, 2026 was as follows:</w:t>
      </w:r>
    </w:p>
    <w:tbl>
      <w:tblPr>
        <w:tblW w:w="8054" w:type="dxa"/>
        <w:jc w:val="left"/>
        <w:tblInd w:w="0" w:type="dxa"/>
        <w:tblLayout w:type="fixed"/>
        <w:tblCellMar>
          <w:top w:w="28" w:type="dxa"/>
          <w:left w:w="28" w:type="dxa"/>
          <w:bottom w:w="28" w:type="dxa"/>
          <w:right w:w="28" w:type="dxa"/>
        </w:tblCellMar>
      </w:tblPr>
      <w:tblGrid>
        <w:gridCol w:w="1211"/>
        <w:gridCol w:w="1063"/>
        <w:gridCol w:w="1070"/>
        <w:gridCol w:w="109"/>
        <w:gridCol w:w="109"/>
        <w:gridCol w:w="109"/>
        <w:gridCol w:w="248"/>
        <w:gridCol w:w="248"/>
        <w:gridCol w:w="216"/>
        <w:gridCol w:w="109"/>
        <w:gridCol w:w="109"/>
        <w:gridCol w:w="109"/>
        <w:gridCol w:w="722"/>
        <w:gridCol w:w="2052"/>
        <w:gridCol w:w="570"/>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Grant-Date Fair Value</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restricted stock units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restricted stock units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16.96 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9.30 </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grant performance-based restricted stock units to certain employees that are subject to the attainment of pre-established internal performance conditions, market conditions, or a combination thereof (collectively referred to herein as "performance-based restricted stock units"). The actual number of shares subject to the award is determined at the end of the performance period and may range from 0% to 175% of the target shares granted depending upon the terms of the award. Compensation expense related to these awards is recognized using the accelerated attribution method over the vesting period based on the grant date fair value of the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13—Earnings and Loss per Common Share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calculation of basic and diluted earnings and loss per share ("EPS") was as follows:</w:t>
      </w:r>
    </w:p>
    <w:tbl>
      <w:tblPr>
        <w:tblW w:w="10009" w:type="dxa"/>
        <w:jc w:val="left"/>
        <w:tblInd w:w="0" w:type="dxa"/>
        <w:tblLayout w:type="fixed"/>
        <w:tblCellMar>
          <w:top w:w="28" w:type="dxa"/>
          <w:left w:w="28" w:type="dxa"/>
          <w:bottom w:w="28" w:type="dxa"/>
          <w:right w:w="28" w:type="dxa"/>
        </w:tblCellMar>
      </w:tblPr>
      <w:tblGrid>
        <w:gridCol w:w="1759"/>
        <w:gridCol w:w="1548"/>
        <w:gridCol w:w="1553"/>
        <w:gridCol w:w="210"/>
        <w:gridCol w:w="678"/>
        <w:gridCol w:w="117"/>
        <w:gridCol w:w="117"/>
        <w:gridCol w:w="117"/>
        <w:gridCol w:w="117"/>
        <w:gridCol w:w="210"/>
        <w:gridCol w:w="775"/>
        <w:gridCol w:w="117"/>
        <w:gridCol w:w="109"/>
        <w:gridCol w:w="109"/>
        <w:gridCol w:w="109"/>
        <w:gridCol w:w="196"/>
        <w:gridCol w:w="661"/>
        <w:gridCol w:w="109"/>
        <w:gridCol w:w="109"/>
        <w:gridCol w:w="109"/>
        <w:gridCol w:w="109"/>
        <w:gridCol w:w="196"/>
        <w:gridCol w:w="721"/>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earnings (loss) per Class A common share</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Class A shares issued and outstanding</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56,765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(loss) earnings per Class A common share</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(0.04)</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earnings (loss) per Class A common share</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allocated to Class A common stockholders</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Class A shares issued and outstanding</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56,765</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potential common shares: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Service-based restricted stock units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restricted stock units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Class A shares issued and outstanding</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56,765</w:t>
            </w: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(loss) earnings per Class A common share</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(0.04)</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a result of our net losses for the periods presented above, the dilutive impacts of certain potential common shares were excluded from our dilutive weighted-average shares since their inclusion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13—Earnings and Loss per Common Share (continued)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For the periods presented, we also excluded certain restricted stock units which could potentially dilute basic EPS in the future, from the computation of diluted EPS as their effect was anti-dilutive under the treasury stock method. Additionally, we have excluded any performance-based restricted stock units where the performance contingency has not been met as of the end of the period, or whereby the result of including such awards was anti-dilutive.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the weighted-average number of anti-dilutive shares excluded from the diluted EPS calculation:</w:t>
      </w:r>
    </w:p>
    <w:tbl>
      <w:tblPr>
        <w:tblW w:w="8298" w:type="dxa"/>
        <w:jc w:val="left"/>
        <w:tblInd w:w="0" w:type="dxa"/>
        <w:tblLayout w:type="fixed"/>
        <w:tblCellMar>
          <w:top w:w="28" w:type="dxa"/>
          <w:left w:w="28" w:type="dxa"/>
          <w:bottom w:w="28" w:type="dxa"/>
          <w:right w:w="28" w:type="dxa"/>
        </w:tblCellMar>
      </w:tblPr>
      <w:tblGrid>
        <w:gridCol w:w="1140"/>
        <w:gridCol w:w="1003"/>
        <w:gridCol w:w="1006"/>
        <w:gridCol w:w="273"/>
        <w:gridCol w:w="273"/>
        <w:gridCol w:w="273"/>
        <w:gridCol w:w="273"/>
        <w:gridCol w:w="273"/>
        <w:gridCol w:w="273"/>
        <w:gridCol w:w="273"/>
        <w:gridCol w:w="273"/>
        <w:gridCol w:w="273"/>
        <w:gridCol w:w="109"/>
        <w:gridCol w:w="109"/>
        <w:gridCol w:w="109"/>
        <w:gridCol w:w="243"/>
        <w:gridCol w:w="243"/>
        <w:gridCol w:w="243"/>
        <w:gridCol w:w="243"/>
        <w:gridCol w:w="243"/>
        <w:gridCol w:w="243"/>
        <w:gridCol w:w="320"/>
        <w:gridCol w:w="243"/>
        <w:gridCol w:w="344"/>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Class A common stock</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Service-based restricted stock units</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restricted stock units</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w:t>
            </w: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5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w:t>
            </w:r>
            <w:r>
              <w:rPr>
                <w:color w:val="000000"/>
              </w:rPr>
              <w:t>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w:t>
            </w:r>
            <w:r>
              <w:rPr>
                <w:color w:val="000000"/>
              </w:rPr>
              <w:t> </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1,128 </w:t>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14—Fair Value Measurements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applicable accounting guidance,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There are three levels of inputs used to measure fair value. </w:t>
      </w:r>
    </w:p>
    <w:p>
      <w:pPr>
        <w:pStyle w:val="TextBody"/>
        <w:bidi w:val="0"/>
        <w:spacing w:lineRule="auto" w:line="288" w:before="120" w:after="283"/>
        <w:ind w:left="0" w:right="0" w:firstLine="360"/>
        <w:jc w:val="both"/>
        <w:rPr/>
      </w:pPr>
      <w:r>
        <w:rPr>
          <w:rFonts w:ascii="Arial;sans-serif" w:hAnsi="Arial;sans-serif"/>
          <w:b w:val="false"/>
          <w:color w:val="000000"/>
          <w:sz w:val="20"/>
        </w:rPr>
        <w:t>For more information regarding the fair value hierarchy and how we measure fair value, see </w:t>
      </w:r>
      <w:r>
        <w:rPr>
          <w:rFonts w:ascii="Arial;sans-serif" w:hAnsi="Arial;sans-serif"/>
          <w:b w:val="false"/>
          <w:i/>
          <w:color w:val="000000"/>
          <w:sz w:val="20"/>
        </w:rPr>
        <w:t xml:space="preserve">Note 2–Summary of Significant Accounting Policies </w:t>
      </w:r>
      <w:r>
        <w:rPr>
          <w:rFonts w:ascii="Arial;sans-serif" w:hAnsi="Arial;sans-serif"/>
          <w:b w:val="false"/>
          <w:color w:val="000000"/>
          <w:sz w:val="20"/>
        </w:rPr>
        <w:t>to the Consolidated Financial Statements of our Annual Report on Form 10-K for the year ended December 31, 2025.</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and December 31, 2025, our assets carried at fair value on a recurring basis were as follows:</w:t>
      </w:r>
    </w:p>
    <w:tbl>
      <w:tblPr>
        <w:tblW w:w="7733" w:type="dxa"/>
        <w:jc w:val="left"/>
        <w:tblInd w:w="0" w:type="dxa"/>
        <w:tblLayout w:type="fixed"/>
        <w:tblCellMar>
          <w:top w:w="28" w:type="dxa"/>
          <w:left w:w="28" w:type="dxa"/>
          <w:bottom w:w="28" w:type="dxa"/>
          <w:right w:w="28" w:type="dxa"/>
        </w:tblCellMar>
      </w:tblPr>
      <w:tblGrid>
        <w:gridCol w:w="1000"/>
        <w:gridCol w:w="874"/>
        <w:gridCol w:w="886"/>
        <w:gridCol w:w="196"/>
        <w:gridCol w:w="406"/>
        <w:gridCol w:w="109"/>
        <w:gridCol w:w="109"/>
        <w:gridCol w:w="109"/>
        <w:gridCol w:w="109"/>
        <w:gridCol w:w="196"/>
        <w:gridCol w:w="886"/>
        <w:gridCol w:w="109"/>
        <w:gridCol w:w="109"/>
        <w:gridCol w:w="109"/>
        <w:gridCol w:w="109"/>
        <w:gridCol w:w="196"/>
        <w:gridCol w:w="406"/>
        <w:gridCol w:w="109"/>
        <w:gridCol w:w="109"/>
        <w:gridCol w:w="109"/>
        <w:gridCol w:w="109"/>
        <w:gridCol w:w="218"/>
        <w:gridCol w:w="989"/>
        <w:gridCol w:w="172"/>
      </w:tblGrid>
      <w:tr>
        <w:trPr/>
        <w:tc>
          <w:tcPr>
            <w:tcW w:w="100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497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156,075</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2,501,430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2,501,430</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22,640</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353,196</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3,033,341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3,033,341</w:t>
            </w: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bond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156,975 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mortgage-backed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1,934,918 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353,394 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based the fair value of our fixed income securities held as of June 30, 2026 and December 31, 2025 on quoted prices in active markets for similar assets. We had no transfers between Level 1, Level 2 or Level 3 assets or liabilities during the three and six months ended June 30,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15—Fair Value of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describes the valuation technique for determining the fair value of financial instruments, whether or not such instruments are carried at fair value on our consolidated balance sheets.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Short-term Financial Instruments</w:t>
      </w:r>
    </w:p>
    <w:p>
      <w:pPr>
        <w:pStyle w:val="TextBody"/>
        <w:bidi w:val="0"/>
        <w:spacing w:lineRule="auto" w:line="288" w:before="120" w:after="283"/>
        <w:ind w:left="0" w:right="0" w:firstLine="360"/>
        <w:jc w:val="both"/>
        <w:rPr/>
      </w:pPr>
      <w:r>
        <w:rPr>
          <w:rFonts w:ascii="Arial;sans-serif" w:hAnsi="Arial;sans-serif"/>
          <w:b w:val="false"/>
          <w:color w:val="000000"/>
          <w:sz w:val="20"/>
        </w:rPr>
        <w:t>Our short-term financial instruments consist principally of unrestricted and restricted cash and cash equivalents, settlement assets and obligations, and obligations to customers</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These financial instruments are short-term in nature, and, accordingly, we believe their carrying amounts approximate their fair values. Under the fair value hierarchy, these instruments are classified as Level 1.</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Investment Securities</w:t>
      </w:r>
    </w:p>
    <w:p>
      <w:pPr>
        <w:pStyle w:val="TextBody"/>
        <w:bidi w:val="0"/>
        <w:spacing w:lineRule="auto" w:line="288" w:before="120" w:after="283"/>
        <w:ind w:left="0" w:right="0" w:firstLine="360"/>
        <w:jc w:val="both"/>
        <w:rPr/>
      </w:pPr>
      <w:r>
        <w:rPr>
          <w:rFonts w:ascii="Arial;sans-serif" w:hAnsi="Arial;sans-serif"/>
          <w:b w:val="false"/>
          <w:color w:val="000000"/>
          <w:sz w:val="20"/>
        </w:rPr>
        <w:t>The fair values of investment securities have been derived using methodologies referenced in </w:t>
      </w:r>
      <w:r>
        <w:rPr>
          <w:rFonts w:ascii="Arial;sans-serif" w:hAnsi="Arial;sans-serif"/>
          <w:b w:val="false"/>
          <w:i/>
          <w:color w:val="000000"/>
          <w:sz w:val="20"/>
        </w:rPr>
        <w:t>Note 2–Summary of Significant Accounting Policies</w:t>
      </w:r>
      <w:r>
        <w:rPr>
          <w:color w:val="000000"/>
        </w:rPr>
        <w:t xml:space="preserve"> </w:t>
      </w:r>
      <w:r>
        <w:rPr>
          <w:rFonts w:ascii="Arial;sans-serif" w:hAnsi="Arial;sans-serif"/>
          <w:b w:val="false"/>
          <w:color w:val="000000"/>
          <w:sz w:val="20"/>
        </w:rPr>
        <w:t>to the Consolidated Financial Statements of our Annual Report on Form 10-K for the year ended December 31, 2025</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Under the fair value hierarchy, our investment securities are classified as Level 2.</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Loans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determined the fair values of loans by discounting both principal and interest cash flows expected to be collected using a discount rate commensurate with the risk that we believe a market participant would consider in determining fair value. Under the fair value hierarchy, our loans are classified as Level 3.</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Deposits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demand and interest checking deposits and savings deposits is the amount payable on demand at the reporting date. We determined the fair value of time deposits by discounting expected future cash flows using market-derived rates based on our market yields on certificates of deposit, by maturity, at the measurement date. Under the fair value hierarchy, our deposits are classified as Level 2.</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Debt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the Notes and other instruments is based on borrowing rates currently available to a market participant for loans with similar terms, maturity and credit risk. The carrying amount of our outstanding Notes at June 30, 2026 approximates fair value because the interest rate charged is commensurate with current market rates for issuers of similar risk. The fair value of the Notes is classified as a Level 2 liability in the fair value hierarchy.</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Fair Value of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carrying values and fair values of certain financial instruments that were not carried at fair value, excluding short-term financial instruments and debt, for which the carrying value approximates fair value at June 30, 2026 and December 31, 2025 are presented in the table below.</w:t>
      </w:r>
    </w:p>
    <w:tbl>
      <w:tblPr>
        <w:tblW w:w="9152" w:type="dxa"/>
        <w:jc w:val="left"/>
        <w:tblInd w:w="0" w:type="dxa"/>
        <w:tblLayout w:type="fixed"/>
        <w:tblCellMar>
          <w:top w:w="28" w:type="dxa"/>
          <w:left w:w="28" w:type="dxa"/>
          <w:bottom w:w="28" w:type="dxa"/>
          <w:right w:w="28" w:type="dxa"/>
        </w:tblCellMar>
      </w:tblPr>
      <w:tblGrid>
        <w:gridCol w:w="1171"/>
        <w:gridCol w:w="1032"/>
        <w:gridCol w:w="1037"/>
        <w:gridCol w:w="207"/>
        <w:gridCol w:w="938"/>
        <w:gridCol w:w="115"/>
        <w:gridCol w:w="109"/>
        <w:gridCol w:w="109"/>
        <w:gridCol w:w="109"/>
        <w:gridCol w:w="196"/>
        <w:gridCol w:w="886"/>
        <w:gridCol w:w="109"/>
        <w:gridCol w:w="109"/>
        <w:gridCol w:w="109"/>
        <w:gridCol w:w="109"/>
        <w:gridCol w:w="210"/>
        <w:gridCol w:w="933"/>
        <w:gridCol w:w="116"/>
        <w:gridCol w:w="109"/>
        <w:gridCol w:w="109"/>
        <w:gridCol w:w="109"/>
        <w:gridCol w:w="196"/>
        <w:gridCol w:w="871"/>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Assets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to bank customers, net of allowance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44,252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Liabilities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4,640,329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4,640,047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4,416,294 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4,415,994 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 xml:space="preserve">Note 16—Leases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remaining leases consist of operating lease agreements principally related to our corporate office location. Currently, we do not enter into any financing lease agreements. Our leases have remaining lease terms of approximately 1 year to 7 years, some of which generally include renewal options of varying terms.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total lease expense amounted to approximately $0.2 million and $0.9 million for the three months ended June 30, 2026 and 2025, respectively, and $0.4 million and $1.8 million for the six months ended June 30, 2026 and 2025, respectively. Our lease expense is generally based on fixed payments stated within the agreements. Any variable payments for non-lease components and other short term lease expenses are not considered material. </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Additional Information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Additional information related to our right of use assets and related lease liabilities is as follows:</w:t>
      </w:r>
    </w:p>
    <w:tbl>
      <w:tblPr>
        <w:tblW w:w="5189" w:type="dxa"/>
        <w:jc w:val="left"/>
        <w:tblInd w:w="0" w:type="dxa"/>
        <w:tblLayout w:type="fixed"/>
        <w:tblCellMar>
          <w:top w:w="28" w:type="dxa"/>
          <w:left w:w="28" w:type="dxa"/>
          <w:bottom w:w="28" w:type="dxa"/>
          <w:right w:w="28" w:type="dxa"/>
        </w:tblCellMar>
      </w:tblPr>
      <w:tblGrid>
        <w:gridCol w:w="1440"/>
        <w:gridCol w:w="1265"/>
        <w:gridCol w:w="1269"/>
        <w:gridCol w:w="255"/>
        <w:gridCol w:w="568"/>
        <w:gridCol w:w="392"/>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operating lease liabilities (in thousands)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(years)</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5.94</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Maturities of our operating lease liabilities as of June 30, 2026 are as follows:</w:t>
      </w:r>
    </w:p>
    <w:tbl>
      <w:tblPr>
        <w:tblW w:w="3268" w:type="dxa"/>
        <w:jc w:val="left"/>
        <w:tblInd w:w="0" w:type="dxa"/>
        <w:tblLayout w:type="fixed"/>
        <w:tblCellMar>
          <w:top w:w="28" w:type="dxa"/>
          <w:left w:w="28" w:type="dxa"/>
          <w:bottom w:w="28" w:type="dxa"/>
          <w:right w:w="28" w:type="dxa"/>
        </w:tblCellMar>
      </w:tblPr>
      <w:tblGrid>
        <w:gridCol w:w="625"/>
        <w:gridCol w:w="547"/>
        <w:gridCol w:w="552"/>
        <w:gridCol w:w="333"/>
        <w:gridCol w:w="947"/>
        <w:gridCol w:w="264"/>
      </w:tblGrid>
      <w:tr>
        <w:trPr/>
        <w:tc>
          <w:tcPr>
            <w:tcW w:w="6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2026</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2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liabilities</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1,772 </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17—Commitments and Contingencies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the ordinary course of business, we are a party to various legal proceedings, including, from time to time, regulatory, supervisory, and governmental matters as well as actions which are asserted to be maintainable as class action suits, employment claims, or enforcement actions. We review these actions on an ongoing basis to determine whether it is probable and estimable that a loss has occurred and use that information when making accrual and disclosure decisions. We have provided reserves where necessary for all claims and, based on current knowledge and in part upon the advice of legal counsel, all matters are believed to be adequately covered by insurance, or, if not covered, would not be likely to have a material adverse impact on our financial condition or results of operations. Nonetheless, given the inherent unpredictability of these matters, an adverse outcome could, from time to time, have a material adverse impact on our financial condition or results of operations.</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Other Litigation and Claims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December 18, 2019, an alleged class action entitled Koffsmon v. Green Dot Corp., et al., No. 19-cv-10701-DDP-E, was filed in the United States District Court for the Central District of California, against us and two of our former officers. The suit asserts purported claims under Sections 10(b) and 20(a) of the Securities Exchange Act of 1934, as amended (the "Exchange Act") for allegedly misleading statements regarding our business strategy. Plaintiff alleges that defendants made statements that were misleading because they allegedly failed to disclose details regarding our customer acquisition strategy and its impact on our financial performance. The suit is purportedly brought on behalf of purchasers of our securities between May 9, 2018 and November 7, 2019, and seeks compensatory damages, fees and costs. On October 6, 2021, the Court appointed the New York Hotel Trades Council &amp; Hotel Association of New York City, Inc. Pension Fund as lead plaintiff, and on April 1, 2022, plaintiff filed its First Amended Complaint. Defendants filed a motion to dismiss the First Amended Complaint on May 31, 2022, and the motion was denied on March 29, 2024. On September 18, 2025, the parties jointly filed 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17—Commitments and Contingencies (continued)</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Notice of Settlement, and on October 17, 2025, plaintiffs filed a motion for preliminary approval of the settlement, which the Court has taken under submission.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Pursuant to the terms of the settlement (which are subject to final documentation and court approval), we expect to pay $40.0 million to the plaintiffs in resolution of all claims against us and our two former officers. If the settlement is approved by the Court, the settlement amount will be funded from available insurance coverage and this amount, less fees and expenses, will be distributed to purchasers of our securities between May 9, 2018 and November 7, 2019 who file valid proofs of claim under procedures to be implemented by the Court. The expected settlement amount is reflected as of June 30, 2026 and December 31, 2025 within the current portion of other accrued liabilities on our consolidated financial statements, with a corresponding insurance recovery recorded within accounts receivable, net.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On February 18, 2020, a putative shareholder derivative action entitled </w:t>
      </w:r>
      <w:r>
        <w:rPr>
          <w:rFonts w:ascii="Arial;sans-serif" w:hAnsi="Arial;sans-serif"/>
          <w:b w:val="false"/>
          <w:i/>
          <w:color w:val="000000"/>
          <w:sz w:val="20"/>
        </w:rPr>
        <w:t>Hellman v. Streit, et al.</w:t>
      </w:r>
      <w:r>
        <w:rPr>
          <w:rFonts w:ascii="Arial;sans-serif" w:hAnsi="Arial;sans-serif"/>
          <w:b w:val="false"/>
          <w:color w:val="000000"/>
          <w:sz w:val="20"/>
        </w:rPr>
        <w:t>, No. 20-cv-01572-SVW-PVC was filed, purportedly on behalf of the company, in the United States District Court for the Central District of California, against certain of our current and former officers and directors. The suit asserts claims for breach of fiduciary duty and unjust enrichment, as well as claims under Sections 10(b), 14(a) and 20(a) of the Exchange Act, based largely on the allegations made in the Koffsmon action. The Hellman action seeks to recover, among other things, unspecified compensatory damages on behalf of the company. Pursuant to a stipulated agreement between the parties, the Hellman action is stayed.</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On July 15, 2024, a putative shareholder derivative action entitled </w:t>
      </w:r>
      <w:r>
        <w:rPr>
          <w:rFonts w:ascii="Arial;sans-serif" w:hAnsi="Arial;sans-serif"/>
          <w:b w:val="false"/>
          <w:i/>
          <w:color w:val="000000"/>
          <w:sz w:val="20"/>
        </w:rPr>
        <w:t>DiBlasio v. Streit, et al.</w:t>
      </w:r>
      <w:r>
        <w:rPr>
          <w:rFonts w:ascii="Arial;sans-serif" w:hAnsi="Arial;sans-serif"/>
          <w:b w:val="false"/>
          <w:color w:val="000000"/>
          <w:sz w:val="20"/>
        </w:rPr>
        <w:t>, No. 24-cv-05924 was filed, purportedly on behalf of the company, in the United States District Court for the Central District of California, against certain of our current and former officers and directors. A first amended complaint was filed on September 27, 2024. The suit asserts claims for breach of fiduciary duty, abuse of control, and unjust enrichment, as well as claims under Section 14(a) of the Exchange Act, based on the allegations made in Koffsmon action, and on the Consent Order (as defined herein) from the Federal Reserve. The DiBlasio action seeks to recover, among other things, unspecified compensatory damages on behalf of the company. Pursuant to a stipulated agreement between the parties, the DiBlasio action is stayed.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June 25, 2025, the Court entered an order consolidating the Hellman action and the DiBlasio action, with the Hellman action designated the lead case and the DiBlasio action closed administratively. The consolidated case remains stayed.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Given the uncertainty of litigation, we are currently unable to estimate the probability of the outcome of these actions or the range of reasonably possible losses, if any, or the impact on our results of operations, financial condition or cash flows, except as disclosed.</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Other Legal Matters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monitor federal laws and the laws of all 50 states to identify laws or regulations that apply (or may apply) to our products and services. We have obtained money transmitter licenses (or similar such licenses) where applicable, based on advice of counsel or when we have been requested to do so. If we were found to be in violation of any laws and regulations governing our business, which includes without limitation banking, money transmitters, electronic fund transfers, escheatment, changes in accounting policies, or money laundering in the United States or abroad, we could be subject to penalties or could be forced to change our business practices.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enter into contracts containing provisions that contingently require us to indemnify various parties against claims from third parties. These contracts primarily relate to: (i) contracts with our card issuing banks, under which we are responsible to them for any unrecovered overdrafts on accountholders’ balances; (ii) certain real estate leases, under which we may be required to indemnify property owners for environmental and other liabilities, and other claims arising from our use of the premises; (iii) certain agreements with our officers, directors, and employees, under which we may be required to indemnify these persons for liabilities arising out of their relationship with us; and (iv) contracts under which we may be required to indemnify our retail distributors, suppliers, vendors and other parties with whom we have contracts against claims arising from certain of our actions, omissions, violations of law and/or infringement of patents, trademarks, copyrights and/or other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17—Commitments and Contingencies (continued)</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Generally, a maximum obligation under these contracts is not explicitly stated. Because the obligated amounts associated with these types of agreements are not explicitly stated, the overall maximum amount of the obligation cannot be reasonably estimated. With the exception of overdrafts on accountholders’ balances, historically, we have not been required to make payments under these and similar contingent obligations, and no liabilities have been recorded for these obligations in our consolidated balance sheets. For additional information regarding overdrafts on accountholders’ balances, refer to </w:t>
      </w:r>
      <w:r>
        <w:rPr>
          <w:rFonts w:ascii="Arial;sans-serif" w:hAnsi="Arial;sans-serif"/>
          <w:b w:val="false"/>
          <w:i/>
          <w:color w:val="000000"/>
          <w:sz w:val="20"/>
        </w:rPr>
        <w:t>Note 5 — Accounts</w:t>
      </w:r>
      <w:r>
        <w:rPr>
          <w:color w:val="000000"/>
        </w:rPr>
        <w:t xml:space="preserve"> </w:t>
      </w:r>
      <w:r>
        <w:rPr>
          <w:rFonts w:ascii="Arial;sans-serif" w:hAnsi="Arial;sans-serif"/>
          <w:b w:val="false"/>
          <w:i/>
          <w:color w:val="000000"/>
          <w:sz w:val="20"/>
        </w:rPr>
        <w:t>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18—Significant Concentrations</w:t>
      </w:r>
    </w:p>
    <w:p>
      <w:pPr>
        <w:pStyle w:val="TextBody"/>
        <w:bidi w:val="0"/>
        <w:spacing w:lineRule="auto" w:line="288" w:before="120" w:after="283"/>
        <w:ind w:left="0" w:right="0" w:firstLine="360"/>
        <w:jc w:val="both"/>
        <w:rPr/>
      </w:pPr>
      <w:r>
        <w:rPr>
          <w:rFonts w:ascii="Arial;sans-serif" w:hAnsi="Arial;sans-serif"/>
          <w:b w:val="false"/>
          <w:color w:val="000000"/>
          <w:sz w:val="20"/>
        </w:rPr>
        <w:t>A credit concentration may exist if customers are involved in similar industries, economic sectors, and geographic regions. Our retail distributors operate in similar economic sectors, but diverse domestic geographic regions. The loss of a significant retail</w:t>
      </w:r>
      <w:r>
        <w:rPr>
          <w:color w:val="000000"/>
          <w:shd w:fill="FFFFFF" w:val="clear"/>
        </w:rPr>
        <w:t xml:space="preserve"> </w:t>
      </w:r>
      <w:r>
        <w:rPr>
          <w:rFonts w:ascii="Arial;sans-serif" w:hAnsi="Arial;sans-serif"/>
          <w:b w:val="false"/>
          <w:color w:val="000000"/>
          <w:sz w:val="20"/>
          <w:shd w:fill="FFFFFF" w:val="clear"/>
        </w:rPr>
        <w:t>distrib</w:t>
      </w:r>
      <w:r>
        <w:rPr>
          <w:rFonts w:ascii="Arial;sans-serif" w:hAnsi="Arial;sans-serif"/>
          <w:b w:val="false"/>
          <w:color w:val="000000"/>
          <w:sz w:val="20"/>
        </w:rPr>
        <w:t>utor could have a material adverse effect upon our card sales, profitability, and revenue growth.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addition, approximately 70% and 63% of our total operating revenues for the three months ended June 30, 2026 and 2025, respectively, and 64% and 59% for the six months ended June 30, 2026 and 2025, respectively, were generated from a single BaaS partner, but without a corresponding concentration to our gross profit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 19—Restructuring and Other Charges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the third quarter of 2025, we announced a plan to exit our operational activities in China by the end of 2025 as a means of reducing complexity and promoting long-term structural improvements for our business. As a result of this transition, we recorded restructuring and other charges that were primarily related to severance and employee benefits and other direct costs associated with the restructuring, including lease related termination costs.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completed effectively all of our restructuring activities as of December 31, 2025 and accordingly, substantially all payments were made during the fourth quarter of 2025. Any residual restructuring charges are related to support costs for the formal dissolution of the legal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Note 20—Segment Information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Chief Operating Decision Maker (our “CODM,” who is our Chief Executive Officer) organizes and manages our businesses primarily on the basis of the channels in which our product and services are offered and uses net revenue and segment profit to assess profitability, segment performance and allocate resources. Segment profit reflects each segment's net revenue less direct costs, such as sales and marketing expenses, processing expenses, transaction losses and fraud management, and customer support and related expenses. Our operations are aggregated amongst three reportable segments: 1) Business to Business ("B2B") Services, 2) Consumer Services, and 3) Money Movement Services.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B2B Services segment consists of revenues and expenses derived from (i) our partnerships with prominent consumer and technology companies that make our banking products and services available to their consumers, partners and workforce through integration with our banking platform (the "Banking-as-a-Service," or "BaaS channel"), and (ii) a comprehensive payroll platform that we offer to corporate enterprises (the "Employer channel") to facilitate payments for today’s workforce. Our products and services in this segment include deposit account programs, such as consumer and small business checking accounts and prepaid cards, as well as our disbursement services utilized by our partners.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Consumer Services segment consists of revenues and expenses derived from deposit account programs, such as consumer checking accounts, prepaid cards, secured credit cards, and gift cards that we offer to consumers (i) through distribution arrangements with more than 90,000 retail locations and thousands of neighborhood Financial Service Center locations (the "Retail channel"), and (ii) directly through various marketing channels, such as online search engine optimization, online displays, direct mail campaigns, mobile advertising, and affiliate referral programs (the "Direct channel").</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Money Movement Services segment consists of revenues and expenses generated on a per transaction basis from our services that specialize in facilitating the movement of cash on behalf of consumers and businesses, such as money processing services and tax refund processing services. Our money processing services, such as cash deposit and disbursements, are marketed to third-party banks, program managers, and other companies seeking cash deposit and disbursement capabilities for their customers. Those customers, including our own accountholders, can access our cash deposit and disbursement services at any of the locations within our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283"/>
        <w:jc w:val="both"/>
        <w:rPr/>
      </w:pPr>
      <w:r>
        <w:rPr>
          <w:rFonts w:ascii="Arial;sans-serif" w:hAnsi="Arial;sans-serif"/>
          <w:b/>
          <w:color w:val="000000"/>
          <w:sz w:val="20"/>
        </w:rPr>
        <w:t>Note 20—Segment Information (continued)</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of retail distributors and neighborhood Financial Service Centers. We market our tax-related financial services through a network of tax preparation franchises, independent tax professionals and online tax preparation providers.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Corporate and Other segment primarily consists of net interest income, certain other investment income earned by our bank, interest profit sharing arrangements with certain BaaS partners (a reduction of revenue), eliminations of inter-segment revenues and expenses, and unallocated corporate expenses, which include our fixed expenses such as salaries, wages and related benefits for our employees and certain third-party contractors, professional services fees, software licenses, telephone and communication costs, rent, utilities, and insurance. These costs are not considered when our CODM evaluates the performance of our three reportable segments since they are not directly attributable to any reporting segment. Non-cash expenses such as stock-based compensation, depreciation and amortization of long-lived assets, impairment charges, and other non-recurring expenses that are not considered by our CODM when evaluating our overall consolidated financial results are excluded from our unallocated corporate expenses above. We do not evaluate performance or allocate resources based on segment asset data, and therefore such information is not presented.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present key financial information for each of our reportable segments for the periods then ended:</w:t>
      </w:r>
    </w:p>
    <w:tbl>
      <w:tblPr>
        <w:tblW w:w="10205" w:type="dxa"/>
        <w:jc w:val="left"/>
        <w:tblInd w:w="0" w:type="dxa"/>
        <w:tblLayout w:type="fixed"/>
        <w:tblCellMar>
          <w:top w:w="28" w:type="dxa"/>
          <w:left w:w="28" w:type="dxa"/>
          <w:bottom w:w="28" w:type="dxa"/>
          <w:right w:w="28" w:type="dxa"/>
        </w:tblCellMar>
      </w:tblPr>
      <w:tblGrid>
        <w:gridCol w:w="964"/>
        <w:gridCol w:w="699"/>
        <w:gridCol w:w="701"/>
        <w:gridCol w:w="204"/>
        <w:gridCol w:w="783"/>
        <w:gridCol w:w="113"/>
        <w:gridCol w:w="109"/>
        <w:gridCol w:w="109"/>
        <w:gridCol w:w="109"/>
        <w:gridCol w:w="268"/>
        <w:gridCol w:w="905"/>
        <w:gridCol w:w="149"/>
        <w:gridCol w:w="109"/>
        <w:gridCol w:w="109"/>
        <w:gridCol w:w="109"/>
        <w:gridCol w:w="330"/>
        <w:gridCol w:w="1114"/>
        <w:gridCol w:w="183"/>
        <w:gridCol w:w="109"/>
        <w:gridCol w:w="109"/>
        <w:gridCol w:w="109"/>
        <w:gridCol w:w="268"/>
        <w:gridCol w:w="961"/>
        <w:gridCol w:w="149"/>
        <w:gridCol w:w="109"/>
        <w:gridCol w:w="109"/>
        <w:gridCol w:w="109"/>
        <w:gridCol w:w="196"/>
        <w:gridCol w:w="751"/>
        <w:gridCol w:w="159"/>
      </w:tblGrid>
      <w:tr>
        <w:trPr/>
        <w:tc>
          <w:tcPr>
            <w:tcW w:w="96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448,435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84,752</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46,889</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11,209</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591,285</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Segment expenses </w:t>
            </w:r>
            <w:r>
              <w:rPr>
                <w:rFonts w:ascii="Arial;sans-serif" w:hAnsi="Arial;sans-serif"/>
                <w:b w:val="false"/>
                <w:color w:val="000000"/>
                <w:sz w:val="10"/>
              </w:rPr>
              <w:t>(1)</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and marketing expenses </w:t>
            </w:r>
            <w:r>
              <w:rPr>
                <w:rFonts w:ascii="Arial;sans-serif" w:hAnsi="Arial;sans-serif"/>
                <w:b w:val="false"/>
                <w:color w:val="000000"/>
                <w:sz w:val="10"/>
              </w:rPr>
              <w:t>(2)</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30,664</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15,332</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48,657</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Processing expenses </w:t>
            </w:r>
            <w:r>
              <w:rPr>
                <w:rFonts w:ascii="Arial;sans-serif" w:hAnsi="Arial;sans-serif"/>
                <w:b w:val="false"/>
                <w:color w:val="000000"/>
                <w:sz w:val="10"/>
              </w:rPr>
              <w:t>(3)</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371,667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8,588</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668</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380,923</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Transaction losses and fraud management </w:t>
            </w:r>
            <w:r>
              <w:rPr>
                <w:rFonts w:ascii="Arial;sans-serif" w:hAnsi="Arial;sans-serif"/>
                <w:b w:val="false"/>
                <w:color w:val="000000"/>
                <w:sz w:val="10"/>
              </w:rPr>
              <w:t>(4)</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23,165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14,206</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(1,693)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35,678</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Customer support and related expenses </w:t>
            </w:r>
            <w:r>
              <w:rPr>
                <w:rFonts w:ascii="Arial;sans-serif" w:hAnsi="Arial;sans-serif"/>
                <w:b w:val="false"/>
                <w:color w:val="000000"/>
                <w:sz w:val="10"/>
              </w:rPr>
              <w:t>(5)</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16,422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3,779</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364</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20,565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Compensation and benefits expenses </w:t>
            </w:r>
            <w:r>
              <w:rPr>
                <w:rFonts w:ascii="Arial;sans-serif" w:hAnsi="Arial;sans-serif"/>
                <w:b w:val="false"/>
                <w:color w:val="000000"/>
                <w:sz w:val="10"/>
              </w:rPr>
              <w:t>(6)</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33,792</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33,792</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(7)</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1,686</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2,063</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25,664</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31,494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expenses</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415,996</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58,923</w:t>
            </w: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16,734</w:t>
            </w: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59,456</w:t>
            </w: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551,109</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32,439</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25,829</w:t>
            </w:r>
            <w:r>
              <w:rPr>
                <w:color w:val="000000"/>
              </w:rPr>
              <w:t>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30,155</w:t>
            </w:r>
            <w:r>
              <w:rPr>
                <w:color w:val="000000"/>
              </w:rPr>
              <w:t>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(48,247)</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40,176</w:t>
            </w: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68"/>
        <w:gridCol w:w="704"/>
        <w:gridCol w:w="707"/>
        <w:gridCol w:w="205"/>
        <w:gridCol w:w="773"/>
        <w:gridCol w:w="114"/>
        <w:gridCol w:w="109"/>
        <w:gridCol w:w="109"/>
        <w:gridCol w:w="109"/>
        <w:gridCol w:w="272"/>
        <w:gridCol w:w="897"/>
        <w:gridCol w:w="151"/>
        <w:gridCol w:w="109"/>
        <w:gridCol w:w="109"/>
        <w:gridCol w:w="109"/>
        <w:gridCol w:w="335"/>
        <w:gridCol w:w="1107"/>
        <w:gridCol w:w="186"/>
        <w:gridCol w:w="109"/>
        <w:gridCol w:w="109"/>
        <w:gridCol w:w="109"/>
        <w:gridCol w:w="269"/>
        <w:gridCol w:w="965"/>
        <w:gridCol w:w="149"/>
        <w:gridCol w:w="109"/>
        <w:gridCol w:w="109"/>
        <w:gridCol w:w="109"/>
        <w:gridCol w:w="196"/>
        <w:gridCol w:w="736"/>
        <w:gridCol w:w="163"/>
      </w:tblGrid>
      <w:tr>
        <w:trPr/>
        <w:tc>
          <w:tcPr>
            <w:tcW w:w="96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348,650 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501,164 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Segment expenses </w:t>
            </w:r>
            <w:r>
              <w:rPr>
                <w:rFonts w:ascii="Arial;sans-serif" w:hAnsi="Arial;sans-serif"/>
                <w:b w:val="false"/>
                <w:color w:val="000000"/>
                <w:sz w:val="10"/>
              </w:rPr>
              <w:t>(1)</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and marketing expenses </w:t>
            </w:r>
            <w:r>
              <w:rPr>
                <w:rFonts w:ascii="Arial;sans-serif" w:hAnsi="Arial;sans-serif"/>
                <w:b w:val="false"/>
                <w:color w:val="000000"/>
                <w:sz w:val="10"/>
              </w:rPr>
              <w:t>(2)</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Processing expenses </w:t>
            </w:r>
            <w:r>
              <w:rPr>
                <w:rFonts w:ascii="Arial;sans-serif" w:hAnsi="Arial;sans-serif"/>
                <w:b w:val="false"/>
                <w:color w:val="000000"/>
                <w:sz w:val="10"/>
              </w:rPr>
              <w:t>(3)</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273,434 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283,085 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Transaction losses and fraud management </w:t>
            </w:r>
            <w:r>
              <w:rPr>
                <w:rFonts w:ascii="Arial;sans-serif" w:hAnsi="Arial;sans-serif"/>
                <w:b w:val="false"/>
                <w:color w:val="000000"/>
                <w:sz w:val="10"/>
              </w:rPr>
              <w:t>(4)</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Customer support and related expenses </w:t>
            </w:r>
            <w:r>
              <w:rPr>
                <w:rFonts w:ascii="Arial;sans-serif" w:hAnsi="Arial;sans-serif"/>
                <w:b w:val="false"/>
                <w:color w:val="000000"/>
                <w:sz w:val="10"/>
              </w:rPr>
              <w:t>(5)</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Compensation and benefits expenses </w:t>
            </w:r>
            <w:r>
              <w:rPr>
                <w:rFonts w:ascii="Arial;sans-serif" w:hAnsi="Arial;sans-serif"/>
                <w:b w:val="false"/>
                <w:color w:val="000000"/>
                <w:sz w:val="10"/>
              </w:rPr>
              <w:t>(6)</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(7)</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expenses</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320,670 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58,328 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455,739 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33,094 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34,112 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(49,761)</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45,425 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pPr>
      <w:r>
        <w:rPr>
          <w:rFonts w:ascii="Arial;sans-serif" w:hAnsi="Arial;sans-serif"/>
          <w:b/>
          <w:color w:val="000000"/>
          <w:sz w:val="20"/>
        </w:rPr>
        <w:t>Note 20—Segment Information (continued)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38"/>
        <w:gridCol w:w="661"/>
        <w:gridCol w:w="664"/>
        <w:gridCol w:w="203"/>
        <w:gridCol w:w="780"/>
        <w:gridCol w:w="112"/>
        <w:gridCol w:w="109"/>
        <w:gridCol w:w="109"/>
        <w:gridCol w:w="109"/>
        <w:gridCol w:w="248"/>
        <w:gridCol w:w="952"/>
        <w:gridCol w:w="137"/>
        <w:gridCol w:w="109"/>
        <w:gridCol w:w="109"/>
        <w:gridCol w:w="109"/>
        <w:gridCol w:w="300"/>
        <w:gridCol w:w="1150"/>
        <w:gridCol w:w="166"/>
        <w:gridCol w:w="109"/>
        <w:gridCol w:w="109"/>
        <w:gridCol w:w="109"/>
        <w:gridCol w:w="262"/>
        <w:gridCol w:w="935"/>
        <w:gridCol w:w="145"/>
        <w:gridCol w:w="109"/>
        <w:gridCol w:w="109"/>
        <w:gridCol w:w="109"/>
        <w:gridCol w:w="196"/>
        <w:gridCol w:w="886"/>
        <w:gridCol w:w="162"/>
      </w:tblGrid>
      <w:tr>
        <w:trPr/>
        <w:tc>
          <w:tcPr>
            <w:tcW w:w="93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865,977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171,233</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177,594</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28,513</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1,243,317</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Segment expenses </w:t>
            </w:r>
            <w:r>
              <w:rPr>
                <w:rFonts w:ascii="Arial;sans-serif" w:hAnsi="Arial;sans-serif"/>
                <w:b w:val="false"/>
                <w:color w:val="000000"/>
                <w:sz w:val="10"/>
              </w:rPr>
              <w:t>(1)</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and marketing expenses </w:t>
            </w:r>
            <w:r>
              <w:rPr>
                <w:rFonts w:ascii="Arial;sans-serif" w:hAnsi="Arial;sans-serif"/>
                <w:b w:val="false"/>
                <w:color w:val="000000"/>
                <w:sz w:val="10"/>
              </w:rPr>
              <w:t>(2)</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5,070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62,583</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39,550</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107,203</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Processing expenses </w:t>
            </w:r>
            <w:r>
              <w:rPr>
                <w:rFonts w:ascii="Arial;sans-serif" w:hAnsi="Arial;sans-serif"/>
                <w:b w:val="false"/>
                <w:color w:val="000000"/>
                <w:sz w:val="10"/>
              </w:rPr>
              <w:t>(3)</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724,816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17,318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1,117</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743,251</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Transaction losses and fraud management </w:t>
            </w:r>
            <w:r>
              <w:rPr>
                <w:rFonts w:ascii="Arial;sans-serif" w:hAnsi="Arial;sans-serif"/>
                <w:b w:val="false"/>
                <w:color w:val="000000"/>
                <w:sz w:val="10"/>
              </w:rPr>
              <w:t>(4)</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41,692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28,218</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12,207</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82,117</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Customer support and related expenses </w:t>
            </w:r>
            <w:r>
              <w:rPr>
                <w:rFonts w:ascii="Arial;sans-serif" w:hAnsi="Arial;sans-serif"/>
                <w:b w:val="false"/>
                <w:color w:val="000000"/>
                <w:sz w:val="10"/>
              </w:rPr>
              <w:t>(5)</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29,638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8,621</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1,953</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40,212</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Compensation and benefits expenses </w:t>
            </w:r>
            <w:r>
              <w:rPr>
                <w:rFonts w:ascii="Arial;sans-serif" w:hAnsi="Arial;sans-serif"/>
                <w:b w:val="false"/>
                <w:color w:val="000000"/>
                <w:sz w:val="10"/>
              </w:rPr>
              <w:t>(6)</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67,221</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67,221</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(7)</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3,627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3,191</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4,168</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49,711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60,697</w:t>
            </w: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expenses</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804,843</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119,931</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58,995</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116,932</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1,100,701</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61,134</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51,302</w:t>
            </w:r>
            <w:r>
              <w:rPr>
                <w:color w:val="000000"/>
              </w:rPr>
              <w:t>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118,599</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(88,419)</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142,616</w:t>
            </w:r>
            <w:r>
              <w:rPr>
                <w:color w:val="000000"/>
              </w:rPr>
              <w:t>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2"/>
        <w:gridCol w:w="667"/>
        <w:gridCol w:w="670"/>
        <w:gridCol w:w="204"/>
        <w:gridCol w:w="770"/>
        <w:gridCol w:w="113"/>
        <w:gridCol w:w="109"/>
        <w:gridCol w:w="109"/>
        <w:gridCol w:w="109"/>
        <w:gridCol w:w="251"/>
        <w:gridCol w:w="944"/>
        <w:gridCol w:w="139"/>
        <w:gridCol w:w="109"/>
        <w:gridCol w:w="109"/>
        <w:gridCol w:w="109"/>
        <w:gridCol w:w="304"/>
        <w:gridCol w:w="1144"/>
        <w:gridCol w:w="169"/>
        <w:gridCol w:w="109"/>
        <w:gridCol w:w="109"/>
        <w:gridCol w:w="109"/>
        <w:gridCol w:w="263"/>
        <w:gridCol w:w="940"/>
        <w:gridCol w:w="146"/>
        <w:gridCol w:w="109"/>
        <w:gridCol w:w="109"/>
        <w:gridCol w:w="109"/>
        <w:gridCol w:w="196"/>
        <w:gridCol w:w="871"/>
        <w:gridCol w:w="164"/>
      </w:tblGrid>
      <w:tr>
        <w:trPr/>
        <w:tc>
          <w:tcPr>
            <w:tcW w:w="94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B2B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Consumer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Money Movement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690,641 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1,057,128 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Segment expenses </w:t>
            </w:r>
            <w:r>
              <w:rPr>
                <w:rFonts w:ascii="Arial;sans-serif" w:hAnsi="Arial;sans-serif"/>
                <w:b w:val="false"/>
                <w:color w:val="000000"/>
                <w:sz w:val="10"/>
              </w:rPr>
              <w:t>(1)</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and marketing expenses </w:t>
            </w:r>
            <w:r>
              <w:rPr>
                <w:rFonts w:ascii="Arial;sans-serif" w:hAnsi="Arial;sans-serif"/>
                <w:b w:val="false"/>
                <w:color w:val="000000"/>
                <w:sz w:val="10"/>
              </w:rPr>
              <w:t>(2)</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Processing expenses </w:t>
            </w:r>
            <w:r>
              <w:rPr>
                <w:rFonts w:ascii="Arial;sans-serif" w:hAnsi="Arial;sans-serif"/>
                <w:b w:val="false"/>
                <w:color w:val="000000"/>
                <w:sz w:val="10"/>
              </w:rPr>
              <w:t>(3)</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538,950 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558,505 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Transaction losses and fraud management </w:t>
            </w:r>
            <w:r>
              <w:rPr>
                <w:rFonts w:ascii="Arial;sans-serif" w:hAnsi="Arial;sans-serif"/>
                <w:b w:val="false"/>
                <w:color w:val="000000"/>
                <w:sz w:val="10"/>
              </w:rPr>
              <w:t>(4)</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Customer support and related expenses </w:t>
            </w:r>
            <w:r>
              <w:rPr>
                <w:rFonts w:ascii="Arial;sans-serif" w:hAnsi="Arial;sans-serif"/>
                <w:b w:val="false"/>
                <w:color w:val="000000"/>
                <w:sz w:val="10"/>
              </w:rPr>
              <w:t>(5)</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Compensation and benefits expenses </w:t>
            </w:r>
            <w:r>
              <w:rPr>
                <w:rFonts w:ascii="Arial;sans-serif" w:hAnsi="Arial;sans-serif"/>
                <w:b w:val="false"/>
                <w:color w:val="000000"/>
                <w:sz w:val="10"/>
              </w:rPr>
              <w:t>(6)</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(7)</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expenses</w:t>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635,509 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121,629 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50,157 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113,849 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921,144 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55,132 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66,726 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110,938 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(96,812)</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135,984 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26"/>
        <w:gridCol w:w="2872"/>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The significant expense categories and amounts align with the segment-level information that is regularly provided to the CODM.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Sales and marketing expenses consist primarily of the commissions we pay to our retail distributors, brokers and partners, advertising and marketing expenses, and the costs of manufacturing and distributing card packages, placards and promotional materials to our retail distributors and partners, and personalized debit cards who have activated their cards.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Processing expenses consist primarily of the fees charged to us by the payment networks, which process transactions for us, any third-party card processors that maintain the records of our customers' accounts and process transaction authorizations and postings, and any third-party banks that issue or process our accounts.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Transaction losses and fraud management consist primarily of losses from customer disputed transactions, unrecovered customer purchase transaction overdraft and fraud, and other losses and recoveries on portfolios in our Money Movement Services segment. Fraud management consists of third-party contractors and support costs to manage risk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Customer support and related expenses consist of third-party contractors hired to conduct call center operations and handle routine customer service inquiries, and the related costs to support our call center operations.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 xml:space="preserve">Compensation and benefits expenses represent the compensation and related benefits, including travel and entertainment, that we provide to our employees and third-party contractors who provide consulting support within our IT operations.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Arial;sans-serif" w:hAnsi="Arial;sans-serif"/>
                <w:b w:val="false"/>
                <w:color w:val="000000"/>
                <w:sz w:val="16"/>
              </w:rPr>
            </w:pPr>
            <w:r>
              <w:rPr>
                <w:rFonts w:ascii="Arial;sans-serif" w:hAnsi="Arial;sans-serif"/>
                <w:b w:val="false"/>
                <w:color w:val="000000"/>
                <w:sz w:val="16"/>
              </w:rPr>
              <w:t>Other segment items in Money Movement Services consist principally of inter-segment expenses for reload services on the Green Dot Network. Other segment items in Corporate and Other primarily consist of other unallocated corporate operating expenses, such as professional services fees, hosting and software licenses, telephone and communication costs, rent, utilities, and insurance, and elimination of inter-segment expenses.</w:t>
            </w:r>
          </w:p>
        </w:tc>
      </w:tr>
    </w:tbl>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lineRule="auto" w:line="288" w:before="120" w:after="120"/>
        <w:jc w:val="both"/>
        <w:rPr/>
      </w:pPr>
      <w:r>
        <w:rPr>
          <w:rFonts w:ascii="Arial;sans-serif" w:hAnsi="Arial;sans-serif"/>
          <w:b/>
          <w:color w:val="000000"/>
          <w:sz w:val="20"/>
        </w:rPr>
        <w:t>Note 20—Segment Information (continued)</w:t>
      </w:r>
      <w:r>
        <w:rPr>
          <w:color w:val="000000"/>
        </w:rPr>
        <w:t xml:space="preserve">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reconciliations of total segment revenues to total operating revenues are presented below:</w:t>
      </w:r>
    </w:p>
    <w:tbl>
      <w:tblPr>
        <w:tblW w:w="9975" w:type="dxa"/>
        <w:jc w:val="left"/>
        <w:tblInd w:w="0" w:type="dxa"/>
        <w:tblLayout w:type="fixed"/>
        <w:tblCellMar>
          <w:top w:w="28" w:type="dxa"/>
          <w:left w:w="28" w:type="dxa"/>
          <w:bottom w:w="28" w:type="dxa"/>
          <w:right w:w="28" w:type="dxa"/>
        </w:tblCellMar>
      </w:tblPr>
      <w:tblGrid>
        <w:gridCol w:w="1615"/>
        <w:gridCol w:w="1417"/>
        <w:gridCol w:w="1422"/>
        <w:gridCol w:w="198"/>
        <w:gridCol w:w="762"/>
        <w:gridCol w:w="110"/>
        <w:gridCol w:w="110"/>
        <w:gridCol w:w="110"/>
        <w:gridCol w:w="110"/>
        <w:gridCol w:w="198"/>
        <w:gridCol w:w="747"/>
        <w:gridCol w:w="110"/>
        <w:gridCol w:w="109"/>
        <w:gridCol w:w="109"/>
        <w:gridCol w:w="109"/>
        <w:gridCol w:w="196"/>
        <w:gridCol w:w="886"/>
        <w:gridCol w:w="109"/>
        <w:gridCol w:w="109"/>
        <w:gridCol w:w="109"/>
        <w:gridCol w:w="109"/>
        <w:gridCol w:w="196"/>
        <w:gridCol w:w="871"/>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591,285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501,164 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1,243,317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Embedded finance commissions and processing expenses </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income </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595,883</w:t>
            </w: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504,176 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1,252,130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1,063,050 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revenue adjustments represent commissions and certain processing-related costs associated with our embedded finance products and services, which are netted against revenues when evaluating segment performance, as well as certain other investment income earned by our bank, which is included in Corporate and Other.</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reconciliations of segment profit to (loss) income before income taxes are presented below:</w:t>
      </w:r>
    </w:p>
    <w:tbl>
      <w:tblPr>
        <w:tblW w:w="10205" w:type="dxa"/>
        <w:jc w:val="left"/>
        <w:tblInd w:w="0" w:type="dxa"/>
        <w:tblLayout w:type="fixed"/>
        <w:tblCellMar>
          <w:top w:w="28" w:type="dxa"/>
          <w:left w:w="28" w:type="dxa"/>
          <w:bottom w:w="28" w:type="dxa"/>
          <w:right w:w="28" w:type="dxa"/>
        </w:tblCellMar>
      </w:tblPr>
      <w:tblGrid>
        <w:gridCol w:w="1838"/>
        <w:gridCol w:w="1579"/>
        <w:gridCol w:w="1570"/>
        <w:gridCol w:w="205"/>
        <w:gridCol w:w="693"/>
        <w:gridCol w:w="113"/>
        <w:gridCol w:w="113"/>
        <w:gridCol w:w="113"/>
        <w:gridCol w:w="113"/>
        <w:gridCol w:w="205"/>
        <w:gridCol w:w="745"/>
        <w:gridCol w:w="113"/>
        <w:gridCol w:w="109"/>
        <w:gridCol w:w="109"/>
        <w:gridCol w:w="109"/>
        <w:gridCol w:w="196"/>
        <w:gridCol w:w="751"/>
        <w:gridCol w:w="109"/>
        <w:gridCol w:w="109"/>
        <w:gridCol w:w="109"/>
        <w:gridCol w:w="109"/>
        <w:gridCol w:w="196"/>
        <w:gridCol w:w="736"/>
        <w:gridCol w:w="163"/>
      </w:tblGrid>
      <w:tr>
        <w:trPr/>
        <w:tc>
          <w:tcPr>
            <w:tcW w:w="183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profit</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40,176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142,616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(loss) income before income taxes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18,665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based compensation and related employer taxes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 expenses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acquisition costs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1,720</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 income</w:t>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(761)</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68,277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(74,691)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(100,395)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(2,355)</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(62,923)</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65,284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(29,268)</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76" w:before="180" w:after="283"/>
        <w:ind w:left="0" w:right="0" w:firstLine="360"/>
        <w:jc w:val="both"/>
        <w:rPr/>
      </w:pPr>
      <w:r>
        <w:rPr>
          <w:rFonts w:ascii="Arial;sans-serif" w:hAnsi="Arial;sans-serif"/>
          <w:b w:val="false"/>
          <w:i/>
          <w:color w:val="000000"/>
          <w:sz w:val="20"/>
        </w:rPr>
        <w:t>This Quarterly Report on</w:t>
      </w:r>
      <w:r>
        <w:rPr>
          <w:color w:val="000000"/>
        </w:rPr>
        <w:t xml:space="preserve"> </w:t>
      </w:r>
      <w:r>
        <w:rPr>
          <w:rFonts w:ascii="Arial;sans-serif" w:hAnsi="Arial;sans-serif"/>
          <w:b w:val="false"/>
          <w:i/>
          <w:color w:val="000000"/>
          <w:sz w:val="20"/>
        </w:rPr>
        <w:t>Form 10-Q, including this Management’s Discussion and Analysis of Financial Condition and Results of Operations, contains forward-looking statements regarding future events and our future results that are subject to the safe harbors created under the Securities Act of 1933, as amended (the "Securities Act"), and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inflation and interest rate trends and impacts and other macro-economic impacts on our business, results of operations and financial condition and our responses to such events, including those identified below, under “Part II, Item 1A. Risk Factors,” and elsewhere herein. Therefore, actual results may differ materially and adversely from those expressed in any forward-looking statements. We undertake no obligation to revise or update any forward-looking statements for any reason.</w:t>
      </w:r>
    </w:p>
    <w:p>
      <w:pPr>
        <w:pStyle w:val="TextBody"/>
        <w:bidi w:val="0"/>
        <w:spacing w:lineRule="auto" w:line="288" w:before="120" w:after="283"/>
        <w:ind w:left="0" w:right="0" w:firstLine="360"/>
        <w:jc w:val="both"/>
        <w:rPr>
          <w:rFonts w:ascii="Arial;sans-serif" w:hAnsi="Arial;sans-serif"/>
          <w:b w:val="false"/>
          <w:i/>
          <w:color w:val="000000"/>
          <w:sz w:val="20"/>
        </w:rPr>
      </w:pPr>
      <w:r>
        <w:rPr>
          <w:rFonts w:ascii="Arial;sans-serif" w:hAnsi="Arial;sans-serif"/>
          <w:b w:val="false"/>
          <w:i/>
          <w:color w:val="000000"/>
          <w:sz w:val="20"/>
        </w:rPr>
        <w:t>In this Quarterly Report, unless otherwise specified or the context otherwise requires, “Green Dot,” “we,” “us,” and “our” refer to Green Dot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Green Dot Corporation is a financial technology platform and registered bank holding company that builds banking and payment solutions to create value, retain and reward customers, and accelerate growth for businesses of all sizes. For more than two decades, we have delivered financial tools and services that address the most pressing financial needs of consumers and businesses, and that transform the way people and businesses manage and move money. Through Green Dot Bank, our wholly owned subsidiary, we deliver a broad spectrum of financial products to consumers and businesses through our portfolio of brands, including debit, checking, credit, prepaid, and payroll cards, as well as robust money processing services, such as tax refunds, cash deposits and disbursements.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Our Chief Operating Decision Maker (our “CODM,” who is our Chief Executive Officer) organizes and manages our businesses primarily on the basis of the channels in which our product and services are offered and uses net revenue and segment profit to assess profitability. Segment profit reflects each segment's net revenue less direct costs, such as sales and marketing expenses, processing expenses, transaction losses and fraud management, and customer support and related expenses. Our operations are aggregated amongst three reportable segments: 1) Business to Business ("B2B") Services, 2) Consumer Services, and 3) Money Movement Services. Net interest income, certain other investment income earned by our bank, interest profit sharing arrangements with certain BaaS partners (a reduction of revenue), eliminations of inter-segment revenues and expenses, and unallocated corporate expenses that are not considered when our CODM evaluates the performance of our three reportable segments are recorded in Corporate and Other expenses. Refer to our 2025 Annual Report on Form 10-K "Part I, Item 1. Business" for more detailed information about our operations and </w:t>
      </w:r>
      <w:r>
        <w:rPr>
          <w:rFonts w:ascii="Arial;sans-serif" w:hAnsi="Arial;sans-serif"/>
          <w:b w:val="false"/>
          <w:i/>
          <w:color w:val="000000"/>
          <w:sz w:val="20"/>
        </w:rPr>
        <w:t>Note 20—Segment Information</w:t>
      </w:r>
      <w:r>
        <w:rPr>
          <w:color w:val="000000"/>
        </w:rPr>
        <w:t xml:space="preserve"> </w:t>
      </w:r>
      <w:r>
        <w:rPr>
          <w:rFonts w:ascii="Arial;sans-serif" w:hAnsi="Arial;sans-serif"/>
          <w:b w:val="false"/>
          <w:color w:val="000000"/>
          <w:sz w:val="20"/>
        </w:rPr>
        <w:t>in the notes to the accompanying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Consolidated Financial Results and Trends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consolidated results of operations for the three and six months ended June 30, 2026 and 2025 were as follows:</w:t>
      </w:r>
    </w:p>
    <w:tbl>
      <w:tblPr>
        <w:tblW w:w="11195" w:type="dxa"/>
        <w:jc w:val="left"/>
        <w:tblInd w:w="0" w:type="dxa"/>
        <w:tblLayout w:type="fixed"/>
        <w:tblCellMar>
          <w:top w:w="28" w:type="dxa"/>
          <w:left w:w="28" w:type="dxa"/>
          <w:bottom w:w="28" w:type="dxa"/>
          <w:right w:w="28" w:type="dxa"/>
        </w:tblCellMar>
      </w:tblPr>
      <w:tblGrid>
        <w:gridCol w:w="324"/>
        <w:gridCol w:w="258"/>
        <w:gridCol w:w="259"/>
        <w:gridCol w:w="196"/>
        <w:gridCol w:w="751"/>
        <w:gridCol w:w="109"/>
        <w:gridCol w:w="109"/>
        <w:gridCol w:w="109"/>
        <w:gridCol w:w="109"/>
        <w:gridCol w:w="196"/>
        <w:gridCol w:w="736"/>
        <w:gridCol w:w="109"/>
        <w:gridCol w:w="109"/>
        <w:gridCol w:w="109"/>
        <w:gridCol w:w="109"/>
        <w:gridCol w:w="196"/>
        <w:gridCol w:w="646"/>
        <w:gridCol w:w="109"/>
        <w:gridCol w:w="109"/>
        <w:gridCol w:w="109"/>
        <w:gridCol w:w="109"/>
        <w:gridCol w:w="240"/>
        <w:gridCol w:w="241"/>
        <w:gridCol w:w="256"/>
        <w:gridCol w:w="109"/>
        <w:gridCol w:w="109"/>
        <w:gridCol w:w="109"/>
        <w:gridCol w:w="196"/>
        <w:gridCol w:w="886"/>
        <w:gridCol w:w="109"/>
        <w:gridCol w:w="109"/>
        <w:gridCol w:w="109"/>
        <w:gridCol w:w="109"/>
        <w:gridCol w:w="196"/>
        <w:gridCol w:w="871"/>
        <w:gridCol w:w="109"/>
        <w:gridCol w:w="109"/>
        <w:gridCol w:w="109"/>
        <w:gridCol w:w="109"/>
        <w:gridCol w:w="196"/>
        <w:gridCol w:w="736"/>
        <w:gridCol w:w="109"/>
        <w:gridCol w:w="109"/>
        <w:gridCol w:w="109"/>
        <w:gridCol w:w="109"/>
        <w:gridCol w:w="285"/>
        <w:gridCol w:w="286"/>
        <w:gridCol w:w="301"/>
      </w:tblGrid>
      <w:tr>
        <w:trPr/>
        <w:tc>
          <w:tcPr>
            <w:tcW w:w="3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595,883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596,644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1,183,853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Refer to "Segment Results" below for a summary of financial results of each of our reportable segments.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Total operating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total operating revenues for the three and six months ended June 30, 2026 increased $91.7 million, or 18%, and $189.1 million, or 18%, respectively, over the prior year comparable periods, driven primarily by higher revenues in our B2B Services segment partially offset by lower revenues earned in our Consumer Services segment.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Continued growth of certain BaaS partner programs generated an increase of 19% and 18% in our total gross dollar volume for the three and six months ended June 30, 2026, respectively, over the prior year comparable periods, which increased our total operating revenues year-over-year. However, as discussed below, our total operating revenues for the three and six months ended June 30, 2026 were negatively impacted by unfavorable trends and factors in our deposit account programs, driving, among other things, a decrease in the number of active accounts during the three months ended June 30, 2026 by 1%, as compared to the prior year period, and a decrease in purchase volume and the number of cash transfers by 6% and 2%, respectively, for the three months ended June 30, 2026 and 7% and 4%, respectively, for the six months ended June 30, 2026 from the prior year comparable periods.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our B2B Services segment, revenues increased during the three and six months ended June 30, 2026 by 29% and 25%, respectively, over the prior year comparable periods. The increase was driven by strong year-over-year growth in our gross dollar volume, which increased during the three and six months ended June 30, 2026 by 22% and 21%, respectively, and to a lesser extent, growth in the number of active accounts, which increased by 9% over the prior year comparable period. We recorded a net increase in segment revenue primarily due to growth in gross dollar volume attributable to certain BaaS programs that do not generate interchange fees, resulting in higher program management service fees earned from these BaaS partners.</w:t>
      </w:r>
    </w:p>
    <w:p>
      <w:pPr>
        <w:pStyle w:val="TextBody"/>
        <w:bidi w:val="0"/>
        <w:spacing w:lineRule="auto" w:line="288" w:before="120" w:after="283"/>
        <w:ind w:left="0" w:right="0" w:firstLine="360"/>
        <w:jc w:val="both"/>
        <w:rPr/>
      </w:pPr>
      <w:r>
        <w:rPr>
          <w:rFonts w:ascii="Arial;sans-serif" w:hAnsi="Arial;sans-serif"/>
          <w:b w:val="false"/>
          <w:color w:val="000000"/>
          <w:sz w:val="20"/>
        </w:rPr>
        <w:t>In our Consumer Services segment, revenues decreased during each of the three and six months ended June 30, 2026 by 9% from the prior year comparable periods. Our gross dollar volume and purchase volume declined by 7% and 10%, respectively,</w:t>
      </w:r>
      <w:r>
        <w:rPr>
          <w:color w:val="000000"/>
        </w:rPr>
        <w:t xml:space="preserve"> </w:t>
      </w:r>
      <w:r>
        <w:rPr>
          <w:rFonts w:ascii="Arial;sans-serif" w:hAnsi="Arial;sans-serif"/>
          <w:b w:val="false"/>
          <w:color w:val="000000"/>
          <w:sz w:val="20"/>
        </w:rPr>
        <w:t>for the three months ended June 30, 2026, and the number of active accounts and direct deposit accounts declined by 12% and 7%, respectively. Similarly, gross dollar volume and purchase volume each declined for the six months ended June 30, 2026 by 8% and 11%, respectively. While we saw some moderation in these declining trends in recent periods, we believe these decreases in our Consumer Services segment remain attributable to several persistent factors, including macro-economic factors affecting consumer behavior and other competitive trends that have impacted account acquisition. These factors had a corresponding negative impact on the amount of accountholder fee revenue we earn from accounts, including monthly maintenance fees, ATM fees and interchange fees. These decreases in segment revenues were partially offset by fees generated from our overdraft protection programs due to expanded usage by our accountholders.</w:t>
      </w:r>
    </w:p>
    <w:p>
      <w:pPr>
        <w:pStyle w:val="TextBody"/>
        <w:bidi w:val="0"/>
        <w:spacing w:lineRule="auto" w:line="288" w:before="120" w:after="283"/>
        <w:ind w:left="0" w:right="0" w:firstLine="360"/>
        <w:jc w:val="both"/>
        <w:rPr/>
      </w:pPr>
      <w:r>
        <w:rPr>
          <w:rFonts w:ascii="Arial;sans-serif" w:hAnsi="Arial;sans-serif"/>
          <w:b w:val="false"/>
          <w:color w:val="000000"/>
          <w:sz w:val="20"/>
        </w:rPr>
        <w:t>In our Money Movement Services segment, revenues decreased during the three months ended June 30, 2026 by 8% and increased by 10% during the</w:t>
      </w:r>
      <w:r>
        <w:rPr>
          <w:color w:val="000000"/>
        </w:rPr>
        <w:t xml:space="preserve"> </w:t>
      </w:r>
      <w:r>
        <w:rPr>
          <w:rFonts w:ascii="Arial;sans-serif" w:hAnsi="Arial;sans-serif"/>
          <w:b w:val="false"/>
          <w:color w:val="000000"/>
          <w:sz w:val="20"/>
        </w:rPr>
        <w:t xml:space="preserve">six months ended June 30, 2026, from the prior year comparable periods. The decrease in our Money Movement Services revenue during the three months ended June 30, 2026 was driven primarily by a decrease in our tax processing revenues due to a 23% decrease in the number of tax refunds processed, principally attributable to our online tax preparation partners and the timing of when tax refunds were processed between interim periods during the first half of the year. This decrease in our Money Movement Services revenue was partially offset by an increase in cash transfer revenues during the three months ended June 30, 2026 primarily due to higher disbursements revenue per transaction from a platform partner despite a 2% decrease in cash transfers processed. The decline in the number of cash transfers processed was primarily due to a lower number of active accounts within our Consumer Services segment discussed above, partially offset by a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number of cash transfers processed for third-party programs, which continued to represent the majority of our total cash transfers as of June 30, 2026. </w:t>
      </w:r>
    </w:p>
    <w:p>
      <w:pPr>
        <w:pStyle w:val="TextBody"/>
        <w:bidi w:val="0"/>
        <w:spacing w:lineRule="auto" w:line="288" w:before="120" w:after="283"/>
        <w:ind w:left="0" w:right="0" w:firstLine="360"/>
        <w:jc w:val="both"/>
        <w:rPr/>
      </w:pPr>
      <w:r>
        <w:rPr>
          <w:rFonts w:ascii="Arial;sans-serif" w:hAnsi="Arial;sans-serif"/>
          <w:b w:val="false"/>
          <w:color w:val="000000"/>
          <w:sz w:val="20"/>
        </w:rPr>
        <w:t>The increase in revenue in our Money Movement Services segment during the six months ended June 30, 2026 was driven primarily by an increase in our tax processing revenues and, to a lesser extent, an increase in cash transfer revenues. Although the number of tax refunds processed decreased by 9% for the six months ended June 30, 2026, as compared to the prior year period, our tax processing revenues increased due to the expansion of our taxpayer advance programs. The decrease in the number of tax refunds processed was principally attributable to our online tax preparation partners. Our cash transfer revenues increased during the</w:t>
      </w:r>
      <w:r>
        <w:rPr>
          <w:color w:val="000000"/>
        </w:rPr>
        <w:t xml:space="preserve"> </w:t>
      </w:r>
      <w:r>
        <w:rPr>
          <w:rFonts w:ascii="Arial;sans-serif" w:hAnsi="Arial;sans-serif"/>
          <w:b w:val="false"/>
          <w:color w:val="000000"/>
          <w:sz w:val="20"/>
        </w:rPr>
        <w:t>six months ended June 30, 2026 despite a 4% decrease in the number of cash transfers processed due to the same reasons discussed above.</w:t>
      </w:r>
    </w:p>
    <w:p>
      <w:pPr>
        <w:pStyle w:val="TextBody"/>
        <w:bidi w:val="0"/>
        <w:spacing w:lineRule="auto" w:line="288" w:before="120" w:after="283"/>
        <w:ind w:left="0" w:right="0" w:firstLine="360"/>
        <w:jc w:val="both"/>
        <w:rPr/>
      </w:pPr>
      <w:r>
        <w:rPr>
          <w:rFonts w:ascii="Arial;sans-serif" w:hAnsi="Arial;sans-serif"/>
          <w:b w:val="false"/>
          <w:color w:val="000000"/>
          <w:sz w:val="20"/>
        </w:rPr>
        <w:t>Revenues within our Corporate and Other segment increased during the three and six months ended June 30, 2026 by 31%</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67%, respectively, from the prior year comparable periods, driven primarily by a decrease in interest profit sharing arrangements with certain BaaS partners (a reduction of revenue). In addition, the increase during the six months ended June 30, 2026 was driven by an increase in net interest income earned by Green Dot Bank, primarily the result of both the size of our investments portfolio and higher yielding investments therein from our bond repositioning strategy.</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Total 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total operating expenses for the three and six months ended June 30, 2026 increased $105.9 million, or 22%, and $194.9 million, or 20%, respectively, over the prior year comparable periods.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2026, the increase in total operating expenses was driven primarily by an increase in our processing expenses from the growth in gross dollar volume associated with certain BaaS account programs within our B2B Services segment, which is discussed above. To a lesser extent, our total operating expenses increased due to an increase in other general and administrative expenses, driven primarily by higher professional services fees associated with our proposed transactions with CommerceOne and Smith Ventures, as well as our anti-money laundering ("AML") regulatory compliance initiatives, and an increase in depreciation and amortization expense and software licenses and hosting costs due to investments in our platform and operations. In addition, the increase in other general and administrative expenses reflects a reserve established for unclaimed property obligations. No comparable expense was recorded in the prior year period. These increases in other general and administrative expenses were partially offset by a decrease in overall transaction losses attributable to a decrease in customer dispute volume across our portfolios and a favorable reduction in our dispute loss rates. Total operating expenses were partially offset by a decrease in compensation and benefits expenses, driven primarily by a reduction in third-party call center support costs associated with certain of our BaaS account programs discussed above, a decrease in employee stock-based compensation expense due to a reduction in new grants of equity awards during the pendency of our proposed transactions with CommerceOne and Smith Ventures, and lower accrued bonus compensation expense due to our financial performance in the prior year period exceeding our bonus targets.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total operating expenses for the six months ended June 30, 2026 increased over the prior year comparable period, driven by similar factors as discussed above for the three months ended June 30, 2026. Our processing expenses and other general and administrative expenses increased during the six months ended June 30, 2026, due to the same reasons discussed above. Compensation and benefits expenses also decreased due to the same reasons discussed above, and were further partially offset from severance benefits that did not recur at the same magnitude in the current period as a result of our reduction in employee workforce in the comparable prior year period and a decrease in salary and wage expenses due to the closure of our China operations announced in September 2025. Sales and marketing expenses decreased principally due to a decrease in supply chain materials expenses, which are comprised of debit card plastics and related materials costs, from fewer active accounts, partially offset by an increase in revenue-sharing arrangements in our tax processing business.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Other income and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income and expense, net for the three and six months ended June 30, 2026 decreased $74.7 million and $100.6 million, respectively, from the prior year comparable periods. These decreases resulted principally from charges that did not recur in the current period, including a $70 million incentive payment made by TailFin Labs, LLC ("TailFin") in connection with the extension of the Walmart MoneyCard agreement and related agreements in May 2025. In addition, during the first quarter of 2025, we determined we would sell certain available-for-sales securities in order to reposition the proceeds into higher yielding assets, which resulted in a realized loss of $24.8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bookmarkStart w:id="2" w:name="i754dadfad2c543a489d12bbfe37c2ef8_17674"/>
      <w:bookmarkEnd w:id="2"/>
      <w:r>
        <w:rPr>
          <w:rFonts w:ascii="Arial;sans-serif" w:hAnsi="Arial;sans-serif"/>
          <w:b/>
          <w:color w:val="000000"/>
          <w:sz w:val="20"/>
        </w:rPr>
        <w:t>Income taxes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income tax benefit for the three months ended June 30, 2026 decreased by $15.6 million from the prior year comparable period primarily due to an increase in income before taxes. Our effective tax rate for the six months ended June 30, 2026 was 20.9%, a decrease from 27.4% for the prior year comparable period. The decrease in our effective tax rate was due to several factors, including a higher tax rate benefit from increased general business credits, a higher tax rate benefit from the increase in cash surrender value in bank-owned life insurance policies, and a decrease in tax expense associated with shortfalls from stock-based compensation. These decreases in our effective tax rate were partially offset by an increase in state income taxes expense, net of federal benefits, an increase in the amount of compensation expense that was subject to the IRC Section 162(m) limitation on the deductibility of certain executive compensation, an increase in nondeductible transaction related costs, and an increase in the valuation allowance on our deferred tax assets.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Outlook and Other Trends Affecting Our Business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While we are still experiencing a difficult macro-economic environment, competitive headwinds and other factors that have contributed to declining trends in our consolidated operating results in recent periods, excluding impacts from the proposed transactions with CommerceOne and Smith Ventures and other non-operating items, such as our equity method losses in TailFin, we continue to expect our core results of operations will stabilize on a full year basis year-over-year in 2026 based on our anticipated initiatives and cost-reduction measures we have implemented.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intend to continue to make growth-oriented investments and incur other expenditures that we believe will benefit our long-term financial results. Our growth-oriented investments are focused on, among other things, accelerating our ability to onboard new partners in our B2B Services and Money Movement Services segments, adding new features and functionality to our Arc platform, cost-effectively implementing strategic marketing initiatives in support of our GO2bank product, and other initiatives across our account programs with the objective of returning to active account growth. In 2025, we initiated a re-alignment of teams and resources across the enterprise in a continual effort to better support our strategic priorities and growth channels, and improve our operating efficiency. We expect these re-alignments, including the exit from our operational activities in China, to further improve our cost structure year-over-year.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Despite the meaningful reductions in our cost structure that we have achieved across our organization through our various completed and ongoing initiatives, we are incurring increased expenses in other areas as we endeavor to complete the proposed transactions with CommerceOne and Smith Ventures, incur or accrue for additional retention and officer compensation expenses and incur expenses in connection with our ongoing investments in our AML program, including improvements to our compliance controls, policies and procedures. We believe investments in our AML program will ultimately help us continue to remediate matters identified, reduce our fraud losses over the long term and cost-efficiently scale our compliance and regulatory programs as we look to grow our business.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December 2025, the Federal Reserve decreased interest rates by an additional 25 basis points to a current range of 3.50% to 3.75%. The Federal Reserve's decision-making policies for short-term interest rates will continue to impact the amount of net interest income we earn in the future. In general, while higher short-term interest rates benefit the yield we earn on our cash, certain of our BaaS partner arrangements allow for the BaaS partner to share in a significant portion of the interest earned from accountholder deposits (which are recorded as a reduction of revenue in our consolidated financial statements), and fixed yields on our investment portfolio tend to lag interest rate increases as securities mature and proceeds are reinvested. Accordingly, the net effect has had, and we expect will continue to have, a negative impact on our consolidated financial statements and will be dependent upon future interest rate changes enacted by the Federal Reserve. In an effort to mitigate these impacts, beginning in the second quarter of 2025, we started to gradually reposition a portion of our investment securities portfolio and our cash into variable rate debt securities to improve net yields, and we continue with our investment strategies to balance the effect of our interest sharing arrangements with BaaS partners.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 the duration and magnitude of the continuing effects of macro-economic factors remain uncertain and dependent on various factors outside of our control. See Part II, Item 1A, "Risk Factors," for an additional discussion of risks related to macro-economic factors.</w:t>
      </w:r>
    </w:p>
    <w:p>
      <w:pPr>
        <w:pStyle w:val="TextBody"/>
        <w:bidi w:val="0"/>
        <w:spacing w:before="12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Consolidated Key Metrics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review a number of metrics to help us monitor the performance of, and identify trends affecting, our business. We believe the following measures are the primary indicators of our quarterly and annual revenues:</w:t>
      </w:r>
    </w:p>
    <w:tbl>
      <w:tblPr>
        <w:tblW w:w="10340" w:type="dxa"/>
        <w:jc w:val="left"/>
        <w:tblInd w:w="0" w:type="dxa"/>
        <w:tblLayout w:type="fixed"/>
        <w:tblCellMar>
          <w:top w:w="28" w:type="dxa"/>
          <w:left w:w="28" w:type="dxa"/>
          <w:bottom w:w="28" w:type="dxa"/>
          <w:right w:w="28" w:type="dxa"/>
        </w:tblCellMar>
      </w:tblPr>
      <w:tblGrid>
        <w:gridCol w:w="489"/>
        <w:gridCol w:w="205"/>
        <w:gridCol w:w="207"/>
        <w:gridCol w:w="196"/>
        <w:gridCol w:w="661"/>
        <w:gridCol w:w="109"/>
        <w:gridCol w:w="109"/>
        <w:gridCol w:w="109"/>
        <w:gridCol w:w="109"/>
        <w:gridCol w:w="196"/>
        <w:gridCol w:w="646"/>
        <w:gridCol w:w="109"/>
        <w:gridCol w:w="109"/>
        <w:gridCol w:w="109"/>
        <w:gridCol w:w="109"/>
        <w:gridCol w:w="196"/>
        <w:gridCol w:w="556"/>
        <w:gridCol w:w="109"/>
        <w:gridCol w:w="109"/>
        <w:gridCol w:w="109"/>
        <w:gridCol w:w="109"/>
        <w:gridCol w:w="240"/>
        <w:gridCol w:w="241"/>
        <w:gridCol w:w="256"/>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45,906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cash transfers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tax refunds processed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Represents the number of active accounts as of June 30, 2026 and 2025, respectively.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See “Segment Results” for additional information and discussion regarding key metrics performance by segment. The definitions of our key metrics are as follows:</w:t>
      </w:r>
    </w:p>
    <w:p>
      <w:pPr>
        <w:pStyle w:val="TextBody"/>
        <w:bidi w:val="0"/>
        <w:spacing w:lineRule="auto" w:line="288" w:before="120" w:after="283"/>
        <w:ind w:left="0" w:right="0" w:firstLine="360"/>
        <w:jc w:val="both"/>
        <w:rPr/>
      </w:pPr>
      <w:r>
        <w:rPr>
          <w:rFonts w:ascii="Arial;sans-serif" w:hAnsi="Arial;sans-serif"/>
          <w:b/>
          <w:i/>
          <w:color w:val="000000"/>
          <w:sz w:val="20"/>
        </w:rPr>
        <w:t>Gross Dollar Volume</w:t>
      </w:r>
      <w:r>
        <w:rPr>
          <w:color w:val="000000"/>
        </w:rPr>
        <w:t xml:space="preserve"> — </w:t>
      </w:r>
      <w:r>
        <w:rPr>
          <w:rFonts w:ascii="Arial;sans-serif" w:hAnsi="Arial;sans-serif"/>
          <w:b w:val="false"/>
          <w:color w:val="000000"/>
          <w:sz w:val="20"/>
        </w:rPr>
        <w:t xml:space="preserve">Represents the total dollar volume of funds loaded to our account products from direct deposit and non-direct deposit sources. A substantial portion of our gross dollar volume is generated from direct deposit sources. We use this metric to analyze the total amount of money moving onto our account programs, and to determine the overall engagement and usage patterns of our accountholder base. This metric also serves as a leading indicator of revenue generated through our Consumer Services and B2B Services segments, inclusive of fees charged to accountholders and interchange revenues generated through the spending of account balances. </w:t>
      </w:r>
    </w:p>
    <w:p>
      <w:pPr>
        <w:pStyle w:val="TextBody"/>
        <w:bidi w:val="0"/>
        <w:spacing w:lineRule="auto" w:line="288" w:before="120" w:after="283"/>
        <w:ind w:left="0" w:right="0" w:firstLine="360"/>
        <w:jc w:val="both"/>
        <w:rPr/>
      </w:pPr>
      <w:r>
        <w:rPr>
          <w:rFonts w:ascii="Arial;sans-serif" w:hAnsi="Arial;sans-serif"/>
          <w:b/>
          <w:i/>
          <w:color w:val="000000"/>
          <w:sz w:val="20"/>
        </w:rPr>
        <w:t>Number of Active Accounts</w:t>
      </w:r>
      <w:r>
        <w:rPr>
          <w:color w:val="000000"/>
        </w:rPr>
        <w:t xml:space="preserve"> — </w:t>
      </w:r>
      <w:r>
        <w:rPr>
          <w:rFonts w:ascii="Arial;sans-serif" w:hAnsi="Arial;sans-serif"/>
          <w:b w:val="false"/>
          <w:color w:val="000000"/>
          <w:sz w:val="20"/>
        </w:rPr>
        <w:t xml:space="preserve">Represents any bank account within our Consumer Services and B2B Services segments that is subject to the USA PATRIOT Act of 2001 compliance and, therefore, requires customer identity verification prior to use and is intended to accept ongoing customer cash or ACH deposits. This metric includes checking accounts, general purpose reloadable prepaid card accounts, and secured credit card accounts in our portfolio that had at least one purchase, deposit or ATM withdrawal transaction during the applicable quarter. We use this metric to analyze the overall size of our active customer base and to analyze multiple metrics expressed as an average across this active account base.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direct deposit active accounts within our Consumer Services segment, on average, have the longest tenure and generate the majority of our gross dollar volume in any period and thus, generate more revenue over their lifetime than other active accounts. Refer to sub-section entitled Consumer Services under “Segment Results” below for key metric results for direct deposit active accounts.</w:t>
      </w:r>
    </w:p>
    <w:p>
      <w:pPr>
        <w:pStyle w:val="TextBody"/>
        <w:bidi w:val="0"/>
        <w:spacing w:lineRule="auto" w:line="288" w:before="120" w:after="283"/>
        <w:ind w:left="0" w:right="0" w:firstLine="360"/>
        <w:jc w:val="both"/>
        <w:rPr/>
      </w:pPr>
      <w:r>
        <w:rPr>
          <w:rFonts w:ascii="Arial;sans-serif" w:hAnsi="Arial;sans-serif"/>
          <w:b/>
          <w:i/>
          <w:color w:val="000000"/>
          <w:sz w:val="20"/>
        </w:rPr>
        <w:t>Purchase Volume</w:t>
      </w:r>
      <w:r>
        <w:rPr>
          <w:color w:val="000000"/>
        </w:rPr>
        <w:t xml:space="preserve"> — </w:t>
      </w:r>
      <w:r>
        <w:rPr>
          <w:rFonts w:ascii="Arial;sans-serif" w:hAnsi="Arial;sans-serif"/>
          <w:b w:val="false"/>
          <w:color w:val="000000"/>
          <w:sz w:val="20"/>
        </w:rPr>
        <w:t xml:space="preserve">Represents the total dollar volume of purchase transactions made by our accountholders. This metric excludes the dollar volume of ATM withdrawals and volume generated by certain BaaS programs where the BaaS partner receives interchange fees and we earn a program management service fee. We use this metric to analyze interchange revenue, which is a key component of our financial performance. </w:t>
      </w:r>
    </w:p>
    <w:p>
      <w:pPr>
        <w:pStyle w:val="TextBody"/>
        <w:bidi w:val="0"/>
        <w:spacing w:lineRule="auto" w:line="288" w:before="120" w:after="283"/>
        <w:ind w:left="0" w:right="0" w:firstLine="360"/>
        <w:jc w:val="both"/>
        <w:rPr/>
      </w:pPr>
      <w:r>
        <w:rPr>
          <w:rFonts w:ascii="Arial;sans-serif" w:hAnsi="Arial;sans-serif"/>
          <w:b/>
          <w:i/>
          <w:color w:val="000000"/>
          <w:sz w:val="20"/>
        </w:rPr>
        <w:t>Number of Cash Transfers</w:t>
      </w:r>
      <w:r>
        <w:rPr>
          <w:color w:val="000000"/>
        </w:rPr>
        <w:t xml:space="preserve"> — </w:t>
      </w:r>
      <w:r>
        <w:rPr>
          <w:rFonts w:ascii="Arial;sans-serif" w:hAnsi="Arial;sans-serif"/>
          <w:b w:val="false"/>
          <w:color w:val="000000"/>
          <w:sz w:val="20"/>
        </w:rPr>
        <w:t xml:space="preserve">Represents the total number of cash transfer transactions conducted by consumers, such as a point-of-sale swipe reload transaction, the purchase of a MoneyPak or an e-cash mobile remittance transaction marketed under various brand names, that we conducted through our retail distributors in a specified period. This metric excludes disbursements made through our wage disbursement platform. We review this metric as a measure of the size and scale of our retail cash processing network, as an indicator of customer engagement and usage of our products and services, and to analyze cash transfer revenue, which is a key component of our financial performance. </w:t>
      </w:r>
    </w:p>
    <w:p>
      <w:pPr>
        <w:pStyle w:val="TextBody"/>
        <w:bidi w:val="0"/>
        <w:spacing w:lineRule="auto" w:line="288" w:before="120" w:after="283"/>
        <w:ind w:left="0" w:right="0" w:firstLine="360"/>
        <w:jc w:val="both"/>
        <w:rPr/>
      </w:pPr>
      <w:r>
        <w:rPr>
          <w:rFonts w:ascii="Arial;sans-serif" w:hAnsi="Arial;sans-serif"/>
          <w:b/>
          <w:i/>
          <w:color w:val="000000"/>
          <w:sz w:val="20"/>
        </w:rPr>
        <w:t>Number of Tax Refunds Processed</w:t>
      </w:r>
      <w:r>
        <w:rPr>
          <w:color w:val="000000"/>
        </w:rPr>
        <w:t xml:space="preserve"> — </w:t>
      </w:r>
      <w:r>
        <w:rPr>
          <w:rFonts w:ascii="Arial;sans-serif" w:hAnsi="Arial;sans-serif"/>
          <w:b w:val="false"/>
          <w:color w:val="000000"/>
          <w:sz w:val="20"/>
        </w:rPr>
        <w:t>Represents the total number of tax refunds processed in a specified period. The number of tax refunds processed is most concentrated during the first half of each year and is minimal during the second half of each year. We review this metric as a measure of the size and scale of our tax refund processing platform and as an indicator of customer engagement and usage of its products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Key components of our results of operations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classify our operating revenues into the following four categories:</w:t>
      </w:r>
    </w:p>
    <w:p>
      <w:pPr>
        <w:pStyle w:val="TextBody"/>
        <w:bidi w:val="0"/>
        <w:spacing w:lineRule="auto" w:line="288" w:before="120" w:after="283"/>
        <w:ind w:left="0" w:right="0" w:firstLine="360"/>
        <w:jc w:val="both"/>
        <w:rPr/>
      </w:pPr>
      <w:r>
        <w:rPr>
          <w:rFonts w:ascii="Arial;sans-serif" w:hAnsi="Arial;sans-serif"/>
          <w:b w:val="false"/>
          <w:i/>
          <w:color w:val="000000"/>
          <w:sz w:val="20"/>
        </w:rPr>
        <w:t>Card Revenues and Other Fees</w:t>
      </w:r>
      <w:r>
        <w:rPr>
          <w:color w:val="000000"/>
        </w:rPr>
        <w:t xml:space="preserve"> — </w:t>
      </w:r>
      <w:r>
        <w:rPr>
          <w:rFonts w:ascii="Arial;sans-serif" w:hAnsi="Arial;sans-serif"/>
          <w:b w:val="false"/>
          <w:color w:val="000000"/>
          <w:sz w:val="20"/>
        </w:rPr>
        <w:t>Card revenues consist of monthly maintenance fees, ATM fees, new card fees and other revenues. We charge maintenance fees on prepaid cards, checking accounts and certain cash transfer products, such as MoneyPak, pursuant to the terms and conditions in our customer agreements. We charge ATM fees to accountholders when they withdraw money at certain ATMs in accordance with the terms and conditions in our accountholder agreements. We charge new card fees, if applicable, when a consumer purchases a prepaid card, gift card, or a checking account product through our Retail channel. Other revenues consist primarily of revenue associated with our gift card program, annual fees associated with our secured credit card portfolio, transaction-based fees, fees associated with optional products or services, such as our overdraft protection program, and cash-back rewards we offer to accountholders. Our cash-back rewards are recorded as a reduction to card revenues and other fees. Also included in card revenues and other fees are program management service fees earned from our BaaS partners for programs we manage on their behalf.</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aggregate monthly maintenance fee revenues vary primarily based upon the number of active accounts in our portfolio and the average fee assessed per account. Our average monthly maintenance fee per active account depends upon the mix of products in our portfolio at any given point in time and upon the extent to which fees are waived based on various incentives provided to customers in an effort to encourage higher usage and retention. Our aggregate ATM fee revenues vary based upon the number of accountholder ATM transactions and the average fee per ATM transaction. The average fee per ATM transaction depends upon the mix of products in our portfolio at any given point in time and the extent to which accountholders use ATMs within our free network that carry no fee for cash withdrawal transactions. Our aggregate new card fee revenues vary based upon the number of prepaid cards and checking accounts activated and the average new card fee. The average new card fee depends primarily upon the mix of products that we sell since there are variations in new account fees based on the product and/or the location or source where our products are purchased. The revenue we earn from each of these fees may also vary depending upon the channel in which the active accounts were acquired. For example, certain BaaS programs may not assess monthly maintenance fees and as a result, these accounts may generate lower fee revenue than other active accounts. Our aggregate other fees vary primarily based upon account sales of all types, gift card sales, purchase transactions and the number of active accounts in our portfolio.</w:t>
      </w:r>
    </w:p>
    <w:p>
      <w:pPr>
        <w:pStyle w:val="TextBody"/>
        <w:bidi w:val="0"/>
        <w:spacing w:lineRule="auto" w:line="288" w:before="120" w:after="283"/>
        <w:ind w:left="0" w:right="0" w:firstLine="360"/>
        <w:jc w:val="both"/>
        <w:rPr/>
      </w:pPr>
      <w:r>
        <w:rPr>
          <w:rFonts w:ascii="Arial;sans-serif" w:hAnsi="Arial;sans-serif"/>
          <w:b w:val="false"/>
          <w:i/>
          <w:color w:val="000000"/>
          <w:sz w:val="20"/>
        </w:rPr>
        <w:t>Cash Processing Revenues</w:t>
      </w:r>
      <w:r>
        <w:rPr>
          <w:color w:val="000000"/>
        </w:rPr>
        <w:t xml:space="preserve"> — </w:t>
      </w:r>
      <w:r>
        <w:rPr>
          <w:rFonts w:ascii="Arial;sans-serif" w:hAnsi="Arial;sans-serif"/>
          <w:b w:val="false"/>
          <w:color w:val="000000"/>
          <w:sz w:val="20"/>
        </w:rPr>
        <w:t>Cash processing revenues consist of cash transfer revenues, tax refund processing service revenues, disbursement revenues and other tax processing service revenues. We earn cash transfer revenues when consumers fund their cards through a reload transaction at a Green Dot Network retail location. Our aggregate cash transfer revenues vary based upon the mix of locations where reload transactions occur, since reload fees vary by location. We earn tax refund processing service revenues at the point in time when a customer of a third-party tax preparation company chooses to pay his or her tax preparation fee through the use of our tax refund processing services. We earn disbursement fees from our business partners at the point in time payment disbursements are made.</w:t>
      </w:r>
    </w:p>
    <w:p>
      <w:pPr>
        <w:pStyle w:val="TextBody"/>
        <w:bidi w:val="0"/>
        <w:spacing w:lineRule="auto" w:line="288" w:before="120" w:after="283"/>
        <w:ind w:left="0" w:right="0" w:firstLine="360"/>
        <w:jc w:val="both"/>
        <w:rPr/>
      </w:pPr>
      <w:r>
        <w:rPr>
          <w:rFonts w:ascii="Arial;sans-serif" w:hAnsi="Arial;sans-serif"/>
          <w:b w:val="false"/>
          <w:i/>
          <w:color w:val="000000"/>
          <w:sz w:val="20"/>
        </w:rPr>
        <w:t>Interchange Revenues</w:t>
      </w:r>
      <w:r>
        <w:rPr>
          <w:color w:val="000000"/>
        </w:rPr>
        <w:t xml:space="preserve"> — </w:t>
      </w:r>
      <w:r>
        <w:rPr>
          <w:rFonts w:ascii="Arial;sans-serif" w:hAnsi="Arial;sans-serif"/>
          <w:b w:val="false"/>
          <w:color w:val="000000"/>
          <w:sz w:val="20"/>
        </w:rPr>
        <w:t>We earn interchange revenues from fees remitted by the merchant’s bank, which are based on rates established by the payment networks, at the point in time when customers make purchase transactions using our products. Our aggregate interchange revenues vary based primarily on the number of active accounts in our portfolio, the average transactional volume of the active accounts in our portfolio, the merchant category of spend, and on the mix of accountholder purchases between those using signature identification technologies and those using personal identification numbers and the corresponding rates.</w:t>
      </w:r>
    </w:p>
    <w:p>
      <w:pPr>
        <w:pStyle w:val="TextBody"/>
        <w:bidi w:val="0"/>
        <w:spacing w:lineRule="auto" w:line="288" w:before="120" w:after="283"/>
        <w:ind w:left="0" w:right="0" w:firstLine="360"/>
        <w:jc w:val="both"/>
        <w:rPr/>
      </w:pPr>
      <w:r>
        <w:rPr>
          <w:rFonts w:ascii="Arial;sans-serif" w:hAnsi="Arial;sans-serif"/>
          <w:b w:val="false"/>
          <w:i/>
          <w:color w:val="000000"/>
          <w:sz w:val="20"/>
        </w:rPr>
        <w:t xml:space="preserve">Interest Income, net </w:t>
      </w:r>
      <w:r>
        <w:rPr>
          <w:color w:val="000000"/>
        </w:rPr>
        <w:t xml:space="preserve">— </w:t>
      </w:r>
      <w:r>
        <w:rPr>
          <w:rFonts w:ascii="Arial;sans-serif" w:hAnsi="Arial;sans-serif"/>
          <w:b w:val="false"/>
          <w:color w:val="000000"/>
          <w:sz w:val="20"/>
        </w:rPr>
        <w:t>Net interest income represents the difference between the interest income earned on our interest-earning assets and the interest expense on our interest-bearing liabilities held at Green Dot Bank. Interest-earning assets include cash from customer deposits, loans, and investment securities. Our interest-bearing liabilities held at Green Dot Bank include interest-bearing deposits. Our net interest income and our net interest margin fluctuate based on changes in the federal funds interest rates and changes in the amount and composition of our interest-bearing assets and liabilities.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classify our operating expenses into the following categories:</w:t>
      </w:r>
    </w:p>
    <w:p>
      <w:pPr>
        <w:pStyle w:val="TextBody"/>
        <w:bidi w:val="0"/>
        <w:spacing w:lineRule="auto" w:line="288" w:before="120" w:after="283"/>
        <w:ind w:left="0" w:right="0" w:firstLine="360"/>
        <w:jc w:val="both"/>
        <w:rPr/>
      </w:pPr>
      <w:r>
        <w:rPr>
          <w:rFonts w:ascii="Arial;sans-serif" w:hAnsi="Arial;sans-serif"/>
          <w:b w:val="false"/>
          <w:i/>
          <w:color w:val="000000"/>
          <w:sz w:val="20"/>
        </w:rPr>
        <w:t>Sales and Marketing Expenses</w:t>
      </w:r>
      <w:r>
        <w:rPr>
          <w:color w:val="000000"/>
        </w:rPr>
        <w:t xml:space="preserve"> — </w:t>
      </w:r>
      <w:r>
        <w:rPr>
          <w:rFonts w:ascii="Arial;sans-serif" w:hAnsi="Arial;sans-serif"/>
          <w:b w:val="false"/>
          <w:color w:val="000000"/>
          <w:sz w:val="20"/>
        </w:rPr>
        <w:t xml:space="preserve">Sales and marketing expenses consist primarily of the commissions we pay to our retail distributors, brokers and partners, advertising and marketing expenses, and the costs of manufacturing and distributing card packages, placards and promotional materials to our retail distributors and personalized debit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cards to consumers who have activated their cards. We generally establish commission percentages in long-term distribution agreements with our retail distributors and partners. Aggregate commissions with our retail distributors are determined by the number of account products and cash transfers sold at their respective retail stores. Commissions with our partners and, in certain cases, our retail distributors, are determined by the revenue generated from the ongoing use of the associated card programs. We incur advertising and marketing expenses for television, sponsorships, online and in-store promotions. Advertising and marketing expenses are recognized as incurred and typically deliver a benefit over an extended period of time. For this reason, these expenses do not always track changes in our operating revenues. Our manufacturing and distribution costs vary primarily based on the number of accounts activated by consumers.</w:t>
      </w:r>
    </w:p>
    <w:p>
      <w:pPr>
        <w:pStyle w:val="TextBody"/>
        <w:bidi w:val="0"/>
        <w:spacing w:lineRule="auto" w:line="288" w:before="120" w:after="283"/>
        <w:ind w:left="0" w:right="0" w:firstLine="360"/>
        <w:jc w:val="both"/>
        <w:rPr/>
      </w:pPr>
      <w:r>
        <w:rPr>
          <w:rFonts w:ascii="Arial;sans-serif" w:hAnsi="Arial;sans-serif"/>
          <w:b w:val="false"/>
          <w:i/>
          <w:color w:val="000000"/>
          <w:sz w:val="20"/>
        </w:rPr>
        <w:t>Compensation and Benefits Expenses</w:t>
      </w:r>
      <w:r>
        <w:rPr>
          <w:color w:val="000000"/>
        </w:rPr>
        <w:t xml:space="preserve"> — </w:t>
      </w:r>
      <w:r>
        <w:rPr>
          <w:rFonts w:ascii="Arial;sans-serif" w:hAnsi="Arial;sans-serif"/>
          <w:b w:val="false"/>
          <w:color w:val="000000"/>
          <w:sz w:val="20"/>
        </w:rPr>
        <w:t>Compensation and benefits expenses represent the compensation and benefits that we provide to our employees and the payments we make to third-party contractors. While we have an in-house customer service function, we employ third-party contractors to conduct call center operations, handle routine customer service inquiries and provide consulting support in the area of IT operations and elsewhere. Compensation and benefits expenses associated with our customer service and loss management functions generally vary in line with the size of our active account portfolio, while the expenses associated with other functions do not.</w:t>
      </w:r>
    </w:p>
    <w:p>
      <w:pPr>
        <w:pStyle w:val="TextBody"/>
        <w:bidi w:val="0"/>
        <w:spacing w:lineRule="auto" w:line="288" w:before="120" w:after="283"/>
        <w:ind w:left="0" w:right="0" w:firstLine="360"/>
        <w:jc w:val="both"/>
        <w:rPr/>
      </w:pPr>
      <w:r>
        <w:rPr>
          <w:rFonts w:ascii="Arial;sans-serif" w:hAnsi="Arial;sans-serif"/>
          <w:b w:val="false"/>
          <w:i/>
          <w:color w:val="000000"/>
          <w:sz w:val="20"/>
        </w:rPr>
        <w:t>Processing Expenses</w:t>
      </w:r>
      <w:r>
        <w:rPr>
          <w:color w:val="000000"/>
        </w:rPr>
        <w:t xml:space="preserve"> — </w:t>
      </w:r>
      <w:r>
        <w:rPr>
          <w:rFonts w:ascii="Arial;sans-serif" w:hAnsi="Arial;sans-serif"/>
          <w:b w:val="false"/>
          <w:color w:val="000000"/>
          <w:sz w:val="20"/>
        </w:rPr>
        <w:t>Processing expenses consist primarily of the fees charged to us by the payment networks, which process transactions for us, the third-party card processors that maintain the records of our customers' accounts and process transaction authorizations and postings for us and the third-party banks that issue our accounts. These costs generally vary based on the total number of active accounts in our portfolio and gross dollar volume transacted by those accounts. Also included in processing expenses are bank fees associated with our tax refund processing services and gateway and network fees associated with our disbursement services. Bank fees generally vary based on the total number of tax refund transfers processed and gateway and network fees vary based on the number of disbursements made.</w:t>
      </w:r>
    </w:p>
    <w:p>
      <w:pPr>
        <w:pStyle w:val="TextBody"/>
        <w:bidi w:val="0"/>
        <w:spacing w:lineRule="auto" w:line="288" w:before="120" w:after="283"/>
        <w:ind w:left="0" w:right="0" w:firstLine="360"/>
        <w:jc w:val="both"/>
        <w:rPr/>
      </w:pPr>
      <w:r>
        <w:rPr>
          <w:rFonts w:ascii="Arial;sans-serif" w:hAnsi="Arial;sans-serif"/>
          <w:b w:val="false"/>
          <w:i/>
          <w:color w:val="000000"/>
          <w:sz w:val="20"/>
        </w:rPr>
        <w:t>Other General and Administrative Expenses</w:t>
      </w:r>
      <w:r>
        <w:rPr>
          <w:color w:val="000000"/>
        </w:rPr>
        <w:t xml:space="preserve"> — </w:t>
      </w:r>
      <w:r>
        <w:rPr>
          <w:rFonts w:ascii="Arial;sans-serif" w:hAnsi="Arial;sans-serif"/>
          <w:b w:val="false"/>
          <w:color w:val="000000"/>
          <w:sz w:val="20"/>
        </w:rPr>
        <w:t>Other general and administrative expenses consist primarily of professional services fees, telephone and communication costs, depreciation and amortization of our property and equipment, amortization of our intangible assets, impairment charges of long-lived assets, transaction losses (losses from customer disputed transactions, unrecovered customer purchase transaction overdrafts and fraud), rent and utilities, and insurance. We incur telephone and communication costs primarily from customers contacting us through our toll-free telephone numbers. These costs vary with the total number of active accounts in our portfolio, as do losses from customer disputed transactions, unrecovered customer purchase transaction overdrafts and fraud. Costs associated with professional services, depreciation and amortization of our property and equipment, amortization of our acquired intangible assets, impairment charges of long-lived assets, rent and utilities that vary based upon our investment in infrastructure, business development, risk management, internal controls and activities relating to acquisitions, divestitures and other strategic transactions, such as our strategic review process and the proposed transactions with CommerceOne and Smith Ventures, are generally not correlated with our operating revenues or other transaction metrics.</w:t>
      </w:r>
    </w:p>
    <w:p>
      <w:pPr>
        <w:pStyle w:val="TextBody"/>
        <w:bidi w:val="0"/>
        <w:spacing w:lineRule="auto" w:line="288" w:before="120" w:after="283"/>
        <w:ind w:left="0" w:right="0" w:firstLine="360"/>
        <w:jc w:val="both"/>
        <w:rPr/>
      </w:pPr>
      <w:r>
        <w:rPr>
          <w:rFonts w:ascii="Arial;sans-serif" w:hAnsi="Arial;sans-serif"/>
          <w:b w:val="false"/>
          <w:i/>
          <w:color w:val="000000"/>
          <w:sz w:val="20"/>
        </w:rPr>
        <w:t>Restructuring and Other Charges</w:t>
      </w:r>
      <w:r>
        <w:rPr>
          <w:color w:val="000000"/>
        </w:rPr>
        <w:t xml:space="preserve"> — </w:t>
      </w:r>
      <w:r>
        <w:rPr>
          <w:rFonts w:ascii="Arial;sans-serif" w:hAnsi="Arial;sans-serif"/>
          <w:b w:val="false"/>
          <w:color w:val="000000"/>
          <w:sz w:val="20"/>
        </w:rPr>
        <w:t>Restructuring and other charges consist principally of charges related to employee severance and benefits, as well as expenses associated with the termination of our facility lease and other miscellaneous exit costs. We generally recognize employee severance costs when payments are probable and amounts are estimable or when notification occurs. Costs related to contracts without future benefit or subject to termination are recognized at the earlier of the contract termination or cease-use date. Other exit-related costs are recognized as incurred.</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Other Income and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Other income and expense, net includes income and expenses we generally do not consider normal operating activities, such as earnings, losses or impairment attributable to equity method investments, realized gains or losses on investment securities, income earned on bank-owned life insurance policies, and changes in valuation allowances on loans held for sale, amongst other similar items that may arise from time to time.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 xml:space="preserve">Income Tax Expense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income tax expense consists of the federal and state corporate income taxes accrued on income resulting from the sale of our products and services. Our effective income tax rate may differ from the 21% U.S. federal statutory rate due to a number of factors, including state income taxes, research and development tax credits, non-deductible expenses, increases or decreases in valuation allowances and liabilities for uncertain tax positions, excess tax benefits or shortfalls on stock compensation awards, audit developments, and legislative changes.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pPr>
      <w:r>
        <w:rPr>
          <w:rFonts w:ascii="Arial;sans-serif" w:hAnsi="Arial;sans-serif"/>
          <w:b w:val="false"/>
          <w:i/>
          <w:color w:val="000000"/>
          <w:sz w:val="20"/>
        </w:rPr>
        <w:t xml:space="preserve">Note 10—Income Taxes </w:t>
      </w:r>
      <w:r>
        <w:rPr>
          <w:rFonts w:ascii="Arial;sans-serif" w:hAnsi="Arial;sans-serif"/>
          <w:b w:val="false"/>
          <w:color w:val="000000"/>
          <w:sz w:val="20"/>
        </w:rPr>
        <w:t>to the Consolidated Financial Statements included herein for a discussion of the significant tax differences that impacted our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There have been no material changes during the six months ended June 30, 2026 to the critical accounting estimates disclosed in Management's Discussion and Analysis of Financial Condition and Results of Operations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Comparison of Consolidated Results for the Three Months Ended June 30, 2026 and 2025</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operating revenues among card revenues and other fees, cash processing revenues, interchange revenues and net interest income:</w:t>
      </w:r>
    </w:p>
    <w:tbl>
      <w:tblPr>
        <w:tblW w:w="8881" w:type="dxa"/>
        <w:jc w:val="left"/>
        <w:tblInd w:w="0" w:type="dxa"/>
        <w:tblLayout w:type="fixed"/>
        <w:tblCellMar>
          <w:top w:w="28" w:type="dxa"/>
          <w:left w:w="28" w:type="dxa"/>
          <w:bottom w:w="28" w:type="dxa"/>
          <w:right w:w="28" w:type="dxa"/>
        </w:tblCellMar>
      </w:tblPr>
      <w:tblGrid>
        <w:gridCol w:w="835"/>
        <w:gridCol w:w="736"/>
        <w:gridCol w:w="739"/>
        <w:gridCol w:w="196"/>
        <w:gridCol w:w="751"/>
        <w:gridCol w:w="109"/>
        <w:gridCol w:w="109"/>
        <w:gridCol w:w="109"/>
        <w:gridCol w:w="109"/>
        <w:gridCol w:w="396"/>
        <w:gridCol w:w="396"/>
        <w:gridCol w:w="932"/>
        <w:gridCol w:w="109"/>
        <w:gridCol w:w="109"/>
        <w:gridCol w:w="109"/>
        <w:gridCol w:w="196"/>
        <w:gridCol w:w="736"/>
        <w:gridCol w:w="109"/>
        <w:gridCol w:w="109"/>
        <w:gridCol w:w="109"/>
        <w:gridCol w:w="109"/>
        <w:gridCol w:w="370"/>
        <w:gridCol w:w="370"/>
        <w:gridCol w:w="1029"/>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 revenues and other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476,904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80.1</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processing revenues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595,883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9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pPr>
      <w:r>
        <w:rPr>
          <w:rFonts w:ascii="Arial;sans-serif" w:hAnsi="Arial;sans-serif"/>
          <w:b w:val="false"/>
          <w:i/>
          <w:color w:val="000000"/>
          <w:sz w:val="20"/>
          <w:shd w:fill="FFFFFF" w:val="clear"/>
        </w:rPr>
        <w:t>Card Revenues and Other Fees —</w:t>
      </w:r>
      <w:r>
        <w:rPr>
          <w:color w:val="000000"/>
          <w:shd w:fill="FFFFFF" w:val="clear"/>
        </w:rPr>
        <w:t xml:space="preserve"> </w:t>
      </w:r>
      <w:r>
        <w:rPr>
          <w:rFonts w:ascii="Arial;sans-serif" w:hAnsi="Arial;sans-serif"/>
          <w:b w:val="false"/>
          <w:color w:val="000000"/>
          <w:sz w:val="20"/>
          <w:shd w:fill="FFFFFF" w:val="clear"/>
        </w:rPr>
        <w:t xml:space="preserve">Card revenues and other fees totaled $476.9 million for the three months ended June 30, 2026, an increase of $95.7 million, or 25%, from the comparable prior year period. Card revenues and other fees increased primarily due to growth in gross dollar volume in our B2B Services segment programs, which resulted in higher program management service fees earned from our BaaS partners. These increases were partially offset by decreases in certain accountholder fees, such as monthly maintenance fees and ATM fees, as a result of a decline in the number of active accounts in our Consumer Services segment during the current period. </w:t>
      </w:r>
      <w:r>
        <w:rPr>
          <w:rFonts w:ascii="Arial;sans-serif" w:hAnsi="Arial;sans-serif"/>
          <w:b w:val="false"/>
          <w:color w:val="000000"/>
          <w:sz w:val="20"/>
        </w:rPr>
        <w:t>Decreases in accountholder fees were partially offset by an increase in fees generated from our overdraft protection programs due to expanded usage by our accountholders.</w:t>
      </w:r>
    </w:p>
    <w:p>
      <w:pPr>
        <w:pStyle w:val="TextBody"/>
        <w:bidi w:val="0"/>
        <w:spacing w:lineRule="auto" w:line="288" w:before="120" w:after="283"/>
        <w:ind w:left="0" w:right="0" w:firstLine="360"/>
        <w:jc w:val="both"/>
        <w:rPr/>
      </w:pPr>
      <w:r>
        <w:rPr>
          <w:rFonts w:ascii="Arial;sans-serif" w:hAnsi="Arial;sans-serif"/>
          <w:b w:val="false"/>
          <w:i/>
          <w:color w:val="000000"/>
          <w:sz w:val="20"/>
        </w:rPr>
        <w:t>Cash Processing Revenues</w:t>
      </w:r>
      <w:r>
        <w:rPr>
          <w:color w:val="000000"/>
        </w:rPr>
        <w:t xml:space="preserve"> — </w:t>
      </w:r>
      <w:r>
        <w:rPr>
          <w:rFonts w:ascii="Arial;sans-serif" w:hAnsi="Arial;sans-serif"/>
          <w:b w:val="false"/>
          <w:color w:val="000000"/>
          <w:sz w:val="20"/>
        </w:rPr>
        <w:t>Cash processing revenues totaled $53.3 million for the three months ended June 30, 2026, a decrease of $1.2 million, or 2%, from the comparable prior year period. Cash processing revenues decreased as a result of lower tax processing revenues, which decreased due to a 23% decrease in the number of tax refunds processed and lower ancillary tax program fees that are associated with tax refund transfers. The decrease in the number of tax refunds processed was principally attributable to the performance of our online tax preparation partners. This decrease was partially offset by an increase in cash transfer revenues primarily due to higher disbursements revenue earned per transaction from a platform partner despite a 2% decrease in cash transfers processed. The decline in the number of cash transfers processed was primarily due to a lower number of active accounts within our Consumer Services segment, partially offset by a higher number of cash transfers processed for third-party programs.</w:t>
      </w:r>
    </w:p>
    <w:p>
      <w:pPr>
        <w:pStyle w:val="TextBody"/>
        <w:bidi w:val="0"/>
        <w:spacing w:lineRule="auto" w:line="288" w:before="120" w:after="283"/>
        <w:ind w:left="0" w:right="0" w:firstLine="360"/>
        <w:jc w:val="both"/>
        <w:rPr/>
      </w:pPr>
      <w:r>
        <w:rPr>
          <w:rFonts w:ascii="Arial;sans-serif" w:hAnsi="Arial;sans-serif"/>
          <w:b w:val="false"/>
          <w:i/>
          <w:color w:val="000000"/>
          <w:sz w:val="20"/>
        </w:rPr>
        <w:t>Interchange Revenues</w:t>
      </w:r>
      <w:r>
        <w:rPr>
          <w:color w:val="000000"/>
        </w:rPr>
        <w:t xml:space="preserve"> — </w:t>
      </w:r>
      <w:r>
        <w:rPr>
          <w:rFonts w:ascii="Arial;sans-serif" w:hAnsi="Arial;sans-serif"/>
          <w:b w:val="false"/>
          <w:color w:val="000000"/>
          <w:sz w:val="20"/>
        </w:rPr>
        <w:t>Interchange revenues totaled $44.2 million for the three months ended June 30, 2026, a decrease of $2.8 million, or 6%, from the comparable prior year period. The decrease was primarily due to a decrease in purchase volume of 6% as our effective interchange rate earned from the comparable prior year period remained consistent. Our interchange fees have both fixed and variable components, and as a result, the effective rate we earn may vary based on the size of transactions, among other factors.</w:t>
      </w:r>
    </w:p>
    <w:p>
      <w:pPr>
        <w:pStyle w:val="TextBody"/>
        <w:bidi w:val="0"/>
        <w:spacing w:lineRule="auto" w:line="288" w:before="120" w:after="283"/>
        <w:ind w:left="0" w:right="0" w:firstLine="360"/>
        <w:jc w:val="both"/>
        <w:rPr/>
      </w:pPr>
      <w:r>
        <w:rPr>
          <w:rFonts w:ascii="Arial;sans-serif" w:hAnsi="Arial;sans-serif"/>
          <w:b w:val="false"/>
          <w:i/>
          <w:color w:val="000000"/>
          <w:sz w:val="20"/>
        </w:rPr>
        <w:t>Interest Income, net</w:t>
      </w:r>
      <w:r>
        <w:rPr>
          <w:color w:val="000000"/>
        </w:rPr>
        <w:t xml:space="preserve"> — </w:t>
      </w:r>
      <w:r>
        <w:rPr>
          <w:rFonts w:ascii="Arial;sans-serif" w:hAnsi="Arial;sans-serif"/>
          <w:b w:val="false"/>
          <w:color w:val="000000"/>
          <w:sz w:val="20"/>
        </w:rPr>
        <w:t>Net interest income totaled $21.5 million for the three months ended June 30, 2026, consistent with the comparable prior year period. The changes in net interest income was primarily the result of an increase in the size of our investments portfolio and higher yielding investments therein from our bond repositioning strategy, which was offset by interest shared with certain BaaS partners (a reduction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operating expenses among sales and marketing, compensation and benefits, processing, other general and administrative expenses and restructuring and other charges:</w:t>
      </w:r>
    </w:p>
    <w:tbl>
      <w:tblPr>
        <w:tblW w:w="9826" w:type="dxa"/>
        <w:jc w:val="left"/>
        <w:tblInd w:w="0" w:type="dxa"/>
        <w:tblLayout w:type="fixed"/>
        <w:tblCellMar>
          <w:top w:w="28" w:type="dxa"/>
          <w:left w:w="28" w:type="dxa"/>
          <w:bottom w:w="28" w:type="dxa"/>
          <w:right w:w="28" w:type="dxa"/>
        </w:tblCellMar>
      </w:tblPr>
      <w:tblGrid>
        <w:gridCol w:w="1176"/>
        <w:gridCol w:w="1037"/>
        <w:gridCol w:w="1042"/>
        <w:gridCol w:w="196"/>
        <w:gridCol w:w="751"/>
        <w:gridCol w:w="109"/>
        <w:gridCol w:w="109"/>
        <w:gridCol w:w="109"/>
        <w:gridCol w:w="109"/>
        <w:gridCol w:w="396"/>
        <w:gridCol w:w="396"/>
        <w:gridCol w:w="932"/>
        <w:gridCol w:w="109"/>
        <w:gridCol w:w="109"/>
        <w:gridCol w:w="109"/>
        <w:gridCol w:w="196"/>
        <w:gridCol w:w="736"/>
        <w:gridCol w:w="109"/>
        <w:gridCol w:w="109"/>
        <w:gridCol w:w="109"/>
        <w:gridCol w:w="109"/>
        <w:gridCol w:w="370"/>
        <w:gridCol w:w="370"/>
        <w:gridCol w:w="1029"/>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394,692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66.2</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596,644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100.1</w:t>
            </w:r>
            <w:r>
              <w:rPr>
                <w:color w:val="000000"/>
              </w:rPr>
              <w:t> </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97.4 </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pPr>
      <w:r>
        <w:rPr>
          <w:rFonts w:ascii="Arial;sans-serif" w:hAnsi="Arial;sans-serif"/>
          <w:b w:val="false"/>
          <w:i/>
          <w:color w:val="000000"/>
          <w:sz w:val="20"/>
        </w:rPr>
        <w:t>Sales and Marketing Expenses</w:t>
      </w:r>
      <w:r>
        <w:rPr>
          <w:color w:val="000000"/>
        </w:rPr>
        <w:t xml:space="preserve"> — </w:t>
      </w:r>
      <w:r>
        <w:rPr>
          <w:rFonts w:ascii="Arial;sans-serif" w:hAnsi="Arial;sans-serif"/>
          <w:b w:val="false"/>
          <w:color w:val="000000"/>
          <w:sz w:val="20"/>
        </w:rPr>
        <w:t>Sales and marketing expenses totaled $49.4 million for the three months ended June 30, 2026, a decrease of $0.8 million, or 2%, from the comparable prior year period. This decrease was driven primarily by a decrease in supply chain materials expenses, which are comprised of card packages and personalized debit cards, from fewer active accounts and a decrease in our revenue-sharing arrangements in our Consumer Services business.</w:t>
      </w:r>
    </w:p>
    <w:p>
      <w:pPr>
        <w:pStyle w:val="TextBody"/>
        <w:bidi w:val="0"/>
        <w:spacing w:lineRule="auto" w:line="288" w:before="120" w:after="283"/>
        <w:ind w:left="0" w:right="0" w:firstLine="360"/>
        <w:jc w:val="both"/>
        <w:rPr/>
      </w:pPr>
      <w:r>
        <w:rPr>
          <w:rFonts w:ascii="Arial;sans-serif" w:hAnsi="Arial;sans-serif"/>
          <w:b w:val="false"/>
          <w:i/>
          <w:color w:val="000000"/>
          <w:sz w:val="20"/>
        </w:rPr>
        <w:t>Compensation and Benefits Expenses</w:t>
      </w:r>
      <w:r>
        <w:rPr>
          <w:color w:val="000000"/>
        </w:rPr>
        <w:t xml:space="preserve"> — </w:t>
      </w:r>
      <w:r>
        <w:rPr>
          <w:rFonts w:ascii="Arial;sans-serif" w:hAnsi="Arial;sans-serif"/>
          <w:b w:val="false"/>
          <w:color w:val="000000"/>
          <w:sz w:val="20"/>
        </w:rPr>
        <w:t>Compensation and benefits expenses totaled $59.0 million for the three months ended June 30, 2026, a decrease of $4.8 million, or 8%, from the comparable prior year period. The decrease was driven primarily by a decrease in third-party call center support costs associated with certain BaaS account programs within our B2B Services segment, a decrease in employee stock-based compensation expense due to a reduction in new grants of equity awards during the pendency of our proposed transactions with CommerceOne and Smith Ventures, and lower accrued bonus compensation expense due to our financial performance in the prior year period exceeding our bonus targets.</w:t>
      </w:r>
    </w:p>
    <w:p>
      <w:pPr>
        <w:pStyle w:val="TextBody"/>
        <w:bidi w:val="0"/>
        <w:spacing w:lineRule="auto" w:line="288" w:before="120" w:after="283"/>
        <w:ind w:left="0" w:right="0" w:firstLine="360"/>
        <w:jc w:val="both"/>
        <w:rPr/>
      </w:pPr>
      <w:r>
        <w:rPr>
          <w:rFonts w:ascii="Arial;sans-serif" w:hAnsi="Arial;sans-serif"/>
          <w:b w:val="false"/>
          <w:i/>
          <w:color w:val="000000"/>
          <w:sz w:val="20"/>
        </w:rPr>
        <w:t>Processing Expenses</w:t>
      </w:r>
      <w:r>
        <w:rPr>
          <w:color w:val="000000"/>
        </w:rPr>
        <w:t xml:space="preserve"> — </w:t>
      </w:r>
      <w:r>
        <w:rPr>
          <w:rFonts w:ascii="Arial;sans-serif" w:hAnsi="Arial;sans-serif"/>
          <w:b w:val="false"/>
          <w:color w:val="000000"/>
          <w:sz w:val="20"/>
        </w:rPr>
        <w:t>Processing expenses totaled $394.7 million for the three months ended June 30, 2026, an increase of $101.5 million, or 35%, from the comparable prior year period. This increase was principally due to growth in gross dollar volume on certain BaaS account programs within our B2B Services segment.</w:t>
      </w:r>
    </w:p>
    <w:p>
      <w:pPr>
        <w:pStyle w:val="TextBody"/>
        <w:bidi w:val="0"/>
        <w:spacing w:lineRule="auto" w:line="288" w:before="120" w:after="283"/>
        <w:ind w:left="0" w:right="0" w:firstLine="360"/>
        <w:jc w:val="both"/>
        <w:rPr/>
      </w:pPr>
      <w:r>
        <w:rPr>
          <w:rFonts w:ascii="Arial;sans-serif" w:hAnsi="Arial;sans-serif"/>
          <w:b w:val="false"/>
          <w:i/>
          <w:color w:val="000000"/>
          <w:sz w:val="20"/>
        </w:rPr>
        <w:t>Other General and Administrative Expenses</w:t>
      </w:r>
      <w:r>
        <w:rPr>
          <w:color w:val="000000"/>
        </w:rPr>
        <w:t xml:space="preserve"> — </w:t>
      </w:r>
      <w:r>
        <w:rPr>
          <w:rFonts w:ascii="Arial;sans-serif" w:hAnsi="Arial;sans-serif"/>
          <w:b w:val="false"/>
          <w:color w:val="000000"/>
          <w:sz w:val="20"/>
        </w:rPr>
        <w:t>Other general and administrative expenses totaled $93.5 million for the three months ended June 30, 2026, an increase of $9.9 million, or 12%, from the comparable prior year period. This increase was driven primarily by higher professional services fees associated with our proposed transactions with CommerceOne and Smith Ventures, and our AML regulatory compliance initiatives, and an increase in depreciation and amortization expense and software licenses and hosting costs due to investments in our platform and operations. In addition, the increase in other general and administrative expenses reflects a reserve established for unclaimed property obligations. No comparable expense was recorded in the prior year period. These increases were partially offset by a decrease in overall transaction losses attributable to a decrease in customer dispute volume across our portfolios and a favorable reduction in our dispute loss rates.</w:t>
      </w:r>
    </w:p>
    <w:p>
      <w:pPr>
        <w:pStyle w:val="TextBody"/>
        <w:bidi w:val="0"/>
        <w:spacing w:lineRule="auto" w:line="288" w:before="120" w:after="283"/>
        <w:ind w:left="0" w:right="0" w:firstLine="360"/>
        <w:jc w:val="both"/>
        <w:rPr/>
      </w:pPr>
      <w:r>
        <w:rPr>
          <w:rFonts w:ascii="Arial;sans-serif" w:hAnsi="Arial;sans-serif"/>
          <w:b w:val="false"/>
          <w:i/>
          <w:color w:val="000000"/>
          <w:sz w:val="20"/>
        </w:rPr>
        <w:t>Restructuring and Other Charges</w:t>
      </w:r>
      <w:r>
        <w:rPr>
          <w:color w:val="000000"/>
        </w:rPr>
        <w:t xml:space="preserve"> — </w:t>
      </w:r>
      <w:r>
        <w:rPr>
          <w:rFonts w:ascii="Arial;sans-serif" w:hAnsi="Arial;sans-serif"/>
          <w:b w:val="false"/>
          <w:color w:val="000000"/>
          <w:sz w:val="20"/>
        </w:rPr>
        <w:t xml:space="preserve">Restructuring and other charges totaled $0.1 million for the three months ended June 30, 2026, due to our previously announced restructuring plan. Additionally, refer to </w:t>
      </w:r>
      <w:r>
        <w:rPr>
          <w:rFonts w:ascii="Arial;sans-serif" w:hAnsi="Arial;sans-serif"/>
          <w:b w:val="false"/>
          <w:i/>
          <w:color w:val="000000"/>
          <w:sz w:val="20"/>
        </w:rPr>
        <w:t xml:space="preserve">Note 19 </w:t>
      </w:r>
      <w:r>
        <w:rPr>
          <w:color w:val="000000"/>
        </w:rPr>
        <w:t xml:space="preserve">— </w:t>
      </w:r>
      <w:r>
        <w:rPr>
          <w:rFonts w:ascii="Arial;sans-serif" w:hAnsi="Arial;sans-serif"/>
          <w:b w:val="false"/>
          <w:i/>
          <w:color w:val="000000"/>
          <w:sz w:val="20"/>
        </w:rPr>
        <w:t xml:space="preserve">Restructuring and Other Charges </w:t>
      </w:r>
      <w:r>
        <w:rPr>
          <w:rFonts w:ascii="Arial;sans-serif" w:hAnsi="Arial;sans-serif"/>
          <w:b w:val="false"/>
          <w:color w:val="000000"/>
          <w:sz w:val="20"/>
        </w:rPr>
        <w:t>in the Consolidated Financial Statements included herein for a more detailed discussion of our restructuring and other charges.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Other Income and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income and expense, net totaled $0.01 million for the three months ended June 30, 2026, a decrease of $74.7 million, from the prior year comparable period. This decrease was driven by our equity method losses associated with TailFin and resulted principally from a $70 million incentive payment that TailFin made in connection with the extension of the Walmart MoneyCard agreement and related agreements in May 2025. The incentive payment, which did not recur in the current period, was recorded as a component of equity in losses attributable to TailFin during the second quarter of 2025 under our HLBV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i/>
          <w:color w:val="000000"/>
          <w:sz w:val="20"/>
        </w:rPr>
      </w:pPr>
      <w:bookmarkStart w:id="3" w:name="i7e7ad87953c445a9a8ab948af21ad41c_7484"/>
      <w:bookmarkEnd w:id="3"/>
      <w:r>
        <w:rPr>
          <w:rFonts w:ascii="Arial;sans-serif" w:hAnsi="Arial;sans-serif"/>
          <w:b/>
          <w:i/>
          <w:color w:val="000000"/>
          <w:sz w:val="20"/>
        </w:rPr>
        <w:t>Income Tax Expense and Benefit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effective tax rate among federal, state, and other:</w:t>
      </w:r>
    </w:p>
    <w:tbl>
      <w:tblPr>
        <w:tblW w:w="6026" w:type="dxa"/>
        <w:jc w:val="left"/>
        <w:tblInd w:w="0" w:type="dxa"/>
        <w:tblLayout w:type="fixed"/>
        <w:tblCellMar>
          <w:top w:w="28" w:type="dxa"/>
          <w:left w:w="28" w:type="dxa"/>
          <w:bottom w:w="28" w:type="dxa"/>
          <w:right w:w="28" w:type="dxa"/>
        </w:tblCellMar>
      </w:tblPr>
      <w:tblGrid>
        <w:gridCol w:w="1210"/>
        <w:gridCol w:w="1065"/>
        <w:gridCol w:w="1070"/>
        <w:gridCol w:w="269"/>
        <w:gridCol w:w="271"/>
        <w:gridCol w:w="486"/>
        <w:gridCol w:w="206"/>
        <w:gridCol w:w="206"/>
        <w:gridCol w:w="206"/>
        <w:gridCol w:w="233"/>
        <w:gridCol w:w="233"/>
        <w:gridCol w:w="571"/>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tax rate</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tax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rate differential</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business credits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w:t>
            </w: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IRC 162(m) limitation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w:t>
            </w: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Bank-owned life insurance income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expenses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(0.9)</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transaction related costs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(16.3)</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intangible low-tax income tax</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(0.8)</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income tax benefit totaled $0.3 million for the three months ended June 30, 2026, representing a decrease of $15.6 million from the prior year comparable period, primarily due to an increase in our income before taxes.</w:t>
      </w:r>
    </w:p>
    <w:p>
      <w:pPr>
        <w:pStyle w:val="TextBody"/>
        <w:bidi w:val="0"/>
        <w:spacing w:lineRule="auto" w:line="288" w:before="120" w:after="283"/>
        <w:ind w:left="0" w:right="0" w:firstLine="360"/>
        <w:jc w:val="both"/>
        <w:rPr/>
      </w:pPr>
      <w:r>
        <w:rPr>
          <w:rFonts w:ascii="Arial;sans-serif" w:hAnsi="Arial;sans-serif"/>
          <w:b w:val="false"/>
          <w:color w:val="000000"/>
          <w:sz w:val="20"/>
        </w:rPr>
        <w:t>The net decrease in our effective tax rate for the three months ended June 30, 2026 from the prior year comparable period was due to several factors, including a decrease of $0.3 million in tax expense associated with shortfalls from stock-based compensation and a decrease of $0.5 million</w:t>
      </w:r>
      <w:r>
        <w:rPr>
          <w:color w:val="000000"/>
        </w:rPr>
        <w:t xml:space="preserve"> </w:t>
      </w:r>
      <w:r>
        <w:rPr>
          <w:rFonts w:ascii="Arial;sans-serif" w:hAnsi="Arial;sans-serif"/>
          <w:b w:val="false"/>
          <w:color w:val="000000"/>
          <w:sz w:val="20"/>
        </w:rPr>
        <w:t>in the amount of compensation expense that was subject to the IRC 162(m) limitation on the deductibility of certain executive compensation. These decreases were partially offset by an increase of $3.1 million in state income taxes expense, net of federal benefits, a decrease of $0.1 million in the tax benefit from the cash surrender value in bank-owned life insurance policies, an increase of $0.4 million in nondeductible transaction related costs, and an increase in the valuation allowance recorded against our 2026 federal and state research credits. For the three months ended June 30, 2026, we recorded valuation allowances of $0.1 million against our 2026 federal research credits, which is reflected in change in valuation allowance, and $0.1 million against our 2026 state research credits, reflected in state income taxes, net of federal tax benefit in our effective tax rate reconciliation.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"Other" category in our effective tax rate consists of a variety of permanent differences, none of which were individually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Comparison of Consolidated Results for the Six Months Ended June 30, 2026 and 2025</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operating revenues among card revenues and other fees, cash processing revenues, interchange revenues and net interest income:</w:t>
      </w:r>
    </w:p>
    <w:tbl>
      <w:tblPr>
        <w:tblW w:w="9151" w:type="dxa"/>
        <w:jc w:val="left"/>
        <w:tblInd w:w="0" w:type="dxa"/>
        <w:tblLayout w:type="fixed"/>
        <w:tblCellMar>
          <w:top w:w="28" w:type="dxa"/>
          <w:left w:w="28" w:type="dxa"/>
          <w:bottom w:w="28" w:type="dxa"/>
          <w:right w:w="28" w:type="dxa"/>
        </w:tblCellMar>
      </w:tblPr>
      <w:tblGrid>
        <w:gridCol w:w="835"/>
        <w:gridCol w:w="736"/>
        <w:gridCol w:w="739"/>
        <w:gridCol w:w="196"/>
        <w:gridCol w:w="886"/>
        <w:gridCol w:w="109"/>
        <w:gridCol w:w="109"/>
        <w:gridCol w:w="109"/>
        <w:gridCol w:w="109"/>
        <w:gridCol w:w="396"/>
        <w:gridCol w:w="396"/>
        <w:gridCol w:w="932"/>
        <w:gridCol w:w="109"/>
        <w:gridCol w:w="109"/>
        <w:gridCol w:w="109"/>
        <w:gridCol w:w="196"/>
        <w:gridCol w:w="871"/>
        <w:gridCol w:w="109"/>
        <w:gridCol w:w="109"/>
        <w:gridCol w:w="109"/>
        <w:gridCol w:w="109"/>
        <w:gridCol w:w="370"/>
        <w:gridCol w:w="370"/>
        <w:gridCol w:w="1029"/>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 revenues and other fees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925,579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73.9</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processing revenues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1,252,130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9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1,063,050 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pPr>
      <w:r>
        <w:rPr>
          <w:rFonts w:ascii="Arial;sans-serif" w:hAnsi="Arial;sans-serif"/>
          <w:b w:val="false"/>
          <w:i/>
          <w:color w:val="000000"/>
          <w:sz w:val="20"/>
        </w:rPr>
        <w:t>Card Revenues and Other Fees —</w:t>
      </w:r>
      <w:r>
        <w:rPr>
          <w:color w:val="000000"/>
        </w:rPr>
        <w:t xml:space="preserve"> </w:t>
      </w:r>
      <w:r>
        <w:rPr>
          <w:rFonts w:ascii="Arial;sans-serif" w:hAnsi="Arial;sans-serif"/>
          <w:b w:val="false"/>
          <w:color w:val="000000"/>
          <w:sz w:val="20"/>
        </w:rPr>
        <w:t>Card revenues and other fees totaled $925.6 million for the six months ended June 30, 2026, an increase of $168.4 million, or 22%, from the comparable prior year period. This increase was driven principally by the same factors discussed above under “Comparison of Three-Month Periods Ended June 30, 2026 and 2025—Operating Revenues—Card Revenues and Other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605" cy="14605"/>
                <wp:effectExtent l="0" t="0" r="0" b="0"/>
                <wp:wrapNone/>
                <wp:docPr id="39" name="Frame3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pPr>
      <w:r>
        <w:rPr>
          <w:rFonts w:ascii="Arial;sans-serif" w:hAnsi="Arial;sans-serif"/>
          <w:b w:val="false"/>
          <w:i/>
          <w:color w:val="000000"/>
          <w:sz w:val="20"/>
        </w:rPr>
        <w:t>Cash Processing Revenues</w:t>
      </w:r>
      <w:r>
        <w:rPr>
          <w:color w:val="000000"/>
        </w:rPr>
        <w:t xml:space="preserve"> — </w:t>
      </w:r>
      <w:r>
        <w:rPr>
          <w:rFonts w:ascii="Arial;sans-serif" w:hAnsi="Arial;sans-serif"/>
          <w:b w:val="false"/>
          <w:color w:val="000000"/>
          <w:sz w:val="20"/>
        </w:rPr>
        <w:t>Cash processing revenues totaled $189.7 million for the six months ended June 30, 2026, an increase of $21.8 million, or 13%, from the comparable prior year period. Cash processing revenues increased primarily due to an increase in our tax processing revenues and to a lesser extent, an increase in cash transfer revenues. Although the number of tax refunds processed decreased by 9% for the six months ended June 30, 2026, as compared to the prior year period, our tax processing revenues increased due to the expansion of our taxpayer advance programs. The decrease in the number of tax refunds processed was principally attributable to our online tax preparation partners. Our cash transfer revenues increased during the</w:t>
      </w:r>
      <w:r>
        <w:rPr>
          <w:color w:val="000000"/>
        </w:rPr>
        <w:t xml:space="preserve"> </w:t>
      </w:r>
      <w:r>
        <w:rPr>
          <w:rFonts w:ascii="Arial;sans-serif" w:hAnsi="Arial;sans-serif"/>
          <w:b w:val="false"/>
          <w:color w:val="000000"/>
          <w:sz w:val="20"/>
        </w:rPr>
        <w:t>six months ended June 30, 2026 primarily due to higher disbursements revenue earned per transaction from a platform partner despite a 4% decrease in the number of cash transfers. The decline in the number of cash transfers processed was primarily due to a lower number of active accounts within our Consumer Services segment and to a lesser extent, a lower number of cash transfers processed for third-party programs.</w:t>
      </w:r>
    </w:p>
    <w:p>
      <w:pPr>
        <w:pStyle w:val="TextBody"/>
        <w:bidi w:val="0"/>
        <w:spacing w:lineRule="auto" w:line="288" w:before="120" w:after="283"/>
        <w:ind w:left="0" w:right="0" w:firstLine="360"/>
        <w:jc w:val="both"/>
        <w:rPr/>
      </w:pPr>
      <w:r>
        <w:rPr>
          <w:rFonts w:ascii="Arial;sans-serif" w:hAnsi="Arial;sans-serif"/>
          <w:b w:val="false"/>
          <w:i/>
          <w:color w:val="000000"/>
          <w:sz w:val="20"/>
        </w:rPr>
        <w:t>Interchange Revenues</w:t>
      </w:r>
      <w:r>
        <w:rPr>
          <w:color w:val="000000"/>
        </w:rPr>
        <w:t xml:space="preserve"> — </w:t>
      </w:r>
      <w:r>
        <w:rPr>
          <w:rFonts w:ascii="Arial;sans-serif" w:hAnsi="Arial;sans-serif"/>
          <w:b w:val="false"/>
          <w:color w:val="000000"/>
          <w:sz w:val="20"/>
        </w:rPr>
        <w:t>Interchange revenues totaled $88.1 million for the six months ended June 30, 2026, a decrease of $6.8 million, or 7%, from the comparable prior year period. The decrease was primarily due to a decrease in purchase volume of 7% and for the same reasons as discussed under “Comparison of Three-Month Periods Ended June 30, 2026 and 2025—Operating Revenues—Interchange Revenues."</w:t>
      </w:r>
    </w:p>
    <w:p>
      <w:pPr>
        <w:pStyle w:val="TextBody"/>
        <w:bidi w:val="0"/>
        <w:spacing w:lineRule="auto" w:line="288" w:before="120" w:after="283"/>
        <w:ind w:left="0" w:right="0" w:firstLine="360"/>
        <w:jc w:val="both"/>
        <w:rPr/>
      </w:pPr>
      <w:r>
        <w:rPr>
          <w:rFonts w:ascii="Arial;sans-serif" w:hAnsi="Arial;sans-serif"/>
          <w:b w:val="false"/>
          <w:i/>
          <w:color w:val="000000"/>
          <w:sz w:val="20"/>
        </w:rPr>
        <w:t>Interest Income, net</w:t>
      </w:r>
      <w:r>
        <w:rPr>
          <w:color w:val="000000"/>
        </w:rPr>
        <w:t xml:space="preserve"> — </w:t>
      </w:r>
      <w:r>
        <w:rPr>
          <w:rFonts w:ascii="Arial;sans-serif" w:hAnsi="Arial;sans-serif"/>
          <w:b w:val="false"/>
          <w:color w:val="000000"/>
          <w:sz w:val="20"/>
        </w:rPr>
        <w:t>Net interest income totaled $48.7 million for the six months ended June 30, 2026, an increase of $5.6 million, or 12%, from the comparable prior year period. The increase in net interest income was primarily the result of both the size of our investments portfolio and higher yielding investments therein from our bond repositioning strategy.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operating expenses among sales and marketing, compensation and benefits, processing, other general and administrative expenses and restructuring and other charges:</w:t>
      </w:r>
    </w:p>
    <w:tbl>
      <w:tblPr>
        <w:tblW w:w="9961" w:type="dxa"/>
        <w:jc w:val="left"/>
        <w:tblInd w:w="0" w:type="dxa"/>
        <w:tblLayout w:type="fixed"/>
        <w:tblCellMar>
          <w:top w:w="28" w:type="dxa"/>
          <w:left w:w="28" w:type="dxa"/>
          <w:bottom w:w="28" w:type="dxa"/>
          <w:right w:w="28" w:type="dxa"/>
        </w:tblCellMar>
      </w:tblPr>
      <w:tblGrid>
        <w:gridCol w:w="1176"/>
        <w:gridCol w:w="1037"/>
        <w:gridCol w:w="1042"/>
        <w:gridCol w:w="196"/>
        <w:gridCol w:w="886"/>
        <w:gridCol w:w="109"/>
        <w:gridCol w:w="109"/>
        <w:gridCol w:w="109"/>
        <w:gridCol w:w="109"/>
        <w:gridCol w:w="396"/>
        <w:gridCol w:w="396"/>
        <w:gridCol w:w="932"/>
        <w:gridCol w:w="109"/>
        <w:gridCol w:w="109"/>
        <w:gridCol w:w="109"/>
        <w:gridCol w:w="196"/>
        <w:gridCol w:w="736"/>
        <w:gridCol w:w="109"/>
        <w:gridCol w:w="109"/>
        <w:gridCol w:w="109"/>
        <w:gridCol w:w="109"/>
        <w:gridCol w:w="370"/>
        <w:gridCol w:w="370"/>
        <w:gridCol w:w="1029"/>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w:t>
              <w:br/>
              <w:t>Operating Revenues</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108,672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Processing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769,286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w:t>
            </w: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186,943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w:t>
            </w: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1,183,853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94.5</w:t>
            </w:r>
            <w:r>
              <w:rPr>
                <w:color w:val="000000"/>
              </w:rPr>
              <w:t> </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988,906 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92.9 </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pPr>
      <w:r>
        <w:rPr>
          <w:rFonts w:ascii="Arial;sans-serif" w:hAnsi="Arial;sans-serif"/>
          <w:b w:val="false"/>
          <w:i/>
          <w:color w:val="000000"/>
          <w:sz w:val="20"/>
        </w:rPr>
        <w:t>Sales and Marketing Expenses</w:t>
      </w:r>
      <w:r>
        <w:rPr>
          <w:color w:val="000000"/>
        </w:rPr>
        <w:t xml:space="preserve"> — </w:t>
      </w:r>
      <w:r>
        <w:rPr>
          <w:rFonts w:ascii="Arial;sans-serif" w:hAnsi="Arial;sans-serif"/>
          <w:b w:val="false"/>
          <w:color w:val="000000"/>
          <w:sz w:val="20"/>
        </w:rPr>
        <w:t>Sales and marketing expenses totaled $108.7 million for the six months ended June 30, 2026, a decrease of $1.1 million, or 1%, from the comparable prior year period. This decrease was driven primarily by a decrease in supply chain materials expenses, which are comprised of card packages and personalized debit cards, from fewer active accounts, partially offset by an increase in revenue-sharing arrangements in our tax processing business.</w:t>
      </w:r>
    </w:p>
    <w:p>
      <w:pPr>
        <w:pStyle w:val="TextBody"/>
        <w:bidi w:val="0"/>
        <w:spacing w:lineRule="auto" w:line="288" w:before="120" w:after="283"/>
        <w:ind w:left="0" w:right="0" w:firstLine="360"/>
        <w:jc w:val="both"/>
        <w:rPr/>
      </w:pPr>
      <w:r>
        <w:rPr>
          <w:rFonts w:ascii="Arial;sans-serif" w:hAnsi="Arial;sans-serif"/>
          <w:b w:val="false"/>
          <w:i/>
          <w:color w:val="000000"/>
          <w:sz w:val="20"/>
        </w:rPr>
        <w:t>Compensation and Benefits Expenses</w:t>
      </w:r>
      <w:r>
        <w:rPr>
          <w:color w:val="000000"/>
        </w:rPr>
        <w:t xml:space="preserve"> — </w:t>
      </w:r>
      <w:r>
        <w:rPr>
          <w:rFonts w:ascii="Arial;sans-serif" w:hAnsi="Arial;sans-serif"/>
          <w:b w:val="false"/>
          <w:color w:val="000000"/>
          <w:sz w:val="20"/>
        </w:rPr>
        <w:t>Compensation and benefits expenses totaled $118.8 million for the six months ended June 30, 2026, a decrease of $11.3 million, or 9%, from the comparable prior year period. The decrease was driven primarily by a decrease in third-party call center support costs associated with certain BaaS account programs within our B2B Services segment, a decrease in salary and wage expenses and related severance costs due to the closure of our China operations and lower employee stock-based compensation expense due to a reduction in new grants of equity awards during the pendency of our proposed transactions with CommerceOne and Smith Ventures.</w:t>
      </w:r>
    </w:p>
    <w:p>
      <w:pPr>
        <w:pStyle w:val="TextBody"/>
        <w:bidi w:val="0"/>
        <w:spacing w:lineRule="auto" w:line="288" w:before="120" w:after="283"/>
        <w:ind w:left="0" w:right="0" w:firstLine="360"/>
        <w:jc w:val="both"/>
        <w:rPr/>
      </w:pPr>
      <w:r>
        <w:rPr>
          <w:rFonts w:ascii="Arial;sans-serif" w:hAnsi="Arial;sans-serif"/>
          <w:b w:val="false"/>
          <w:i/>
          <w:color w:val="000000"/>
          <w:sz w:val="20"/>
        </w:rPr>
        <w:t>Processing Expenses</w:t>
      </w:r>
      <w:r>
        <w:rPr>
          <w:color w:val="000000"/>
        </w:rPr>
        <w:t xml:space="preserve"> — </w:t>
      </w:r>
      <w:r>
        <w:rPr>
          <w:rFonts w:ascii="Arial;sans-serif" w:hAnsi="Arial;sans-serif"/>
          <w:b w:val="false"/>
          <w:color w:val="000000"/>
          <w:sz w:val="20"/>
        </w:rPr>
        <w:t>Processing expenses totaled $769.3 million for the six months ended June 30, 2026, an increase of $190.8 million, or 33%, from the comparable prior year period. This increase was driven primarily by the same factors discussed above under “Comparison of Three-Month Periods Ended June 30, 2026 and 2025—Operating Expenses—Processing Expenses."</w:t>
      </w:r>
    </w:p>
    <w:p>
      <w:pPr>
        <w:pStyle w:val="TextBody"/>
        <w:bidi w:val="0"/>
        <w:spacing w:lineRule="auto" w:line="288" w:before="120" w:after="283"/>
        <w:ind w:left="0" w:right="0" w:firstLine="360"/>
        <w:jc w:val="both"/>
        <w:rPr/>
      </w:pPr>
      <w:r>
        <w:rPr>
          <w:rFonts w:ascii="Arial;sans-serif" w:hAnsi="Arial;sans-serif"/>
          <w:b w:val="false"/>
          <w:i/>
          <w:color w:val="000000"/>
          <w:sz w:val="20"/>
        </w:rPr>
        <w:t>Other General and Administrative Expenses</w:t>
      </w:r>
      <w:r>
        <w:rPr>
          <w:color w:val="000000"/>
        </w:rPr>
        <w:t xml:space="preserve"> — </w:t>
      </w:r>
      <w:r>
        <w:rPr>
          <w:rFonts w:ascii="Arial;sans-serif" w:hAnsi="Arial;sans-serif"/>
          <w:b w:val="false"/>
          <w:color w:val="000000"/>
          <w:sz w:val="20"/>
        </w:rPr>
        <w:t>Other general and administrative expenses totaled $186.9 million for the six months ended June 30, 2026, an increase of $16.4 million, or 10%, from the comparable prior year period. This increase was driven primarily by the same factors discussed above under “Comparison of Three-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Month Periods Ended June 30, 2026 and 2025—Operating Expenses—Other General and Administrative Expenses."</w:t>
      </w:r>
    </w:p>
    <w:p>
      <w:pPr>
        <w:pStyle w:val="TextBody"/>
        <w:bidi w:val="0"/>
        <w:spacing w:lineRule="auto" w:line="288" w:before="120" w:after="283"/>
        <w:ind w:left="0" w:right="0" w:firstLine="360"/>
        <w:jc w:val="both"/>
        <w:rPr/>
      </w:pPr>
      <w:r>
        <w:rPr>
          <w:rFonts w:ascii="Arial;sans-serif" w:hAnsi="Arial;sans-serif"/>
          <w:b w:val="false"/>
          <w:i/>
          <w:color w:val="000000"/>
          <w:sz w:val="20"/>
        </w:rPr>
        <w:t>Restructuring and Other Charges</w:t>
      </w:r>
      <w:r>
        <w:rPr>
          <w:color w:val="000000"/>
        </w:rPr>
        <w:t xml:space="preserve"> — </w:t>
      </w:r>
      <w:r>
        <w:rPr>
          <w:rFonts w:ascii="Arial;sans-serif" w:hAnsi="Arial;sans-serif"/>
          <w:b w:val="false"/>
          <w:color w:val="000000"/>
          <w:sz w:val="20"/>
        </w:rPr>
        <w:t xml:space="preserve">Restructuring and other charges totaled $0.2 million for the six months ended June 30, 2026, due to our previously announced restructuring plan. Additionally, refer to </w:t>
      </w:r>
      <w:r>
        <w:rPr>
          <w:rFonts w:ascii="Arial;sans-serif" w:hAnsi="Arial;sans-serif"/>
          <w:b w:val="false"/>
          <w:i/>
          <w:color w:val="000000"/>
          <w:sz w:val="20"/>
        </w:rPr>
        <w:t xml:space="preserve">Note 19 </w:t>
      </w:r>
      <w:r>
        <w:rPr>
          <w:color w:val="000000"/>
        </w:rPr>
        <w:t xml:space="preserve">— </w:t>
      </w:r>
      <w:r>
        <w:rPr>
          <w:rFonts w:ascii="Arial;sans-serif" w:hAnsi="Arial;sans-serif"/>
          <w:b w:val="false"/>
          <w:i/>
          <w:color w:val="000000"/>
          <w:sz w:val="20"/>
        </w:rPr>
        <w:t xml:space="preserve">Restructuring and Other Charges </w:t>
      </w:r>
      <w:r>
        <w:rPr>
          <w:rFonts w:ascii="Arial;sans-serif" w:hAnsi="Arial;sans-serif"/>
          <w:b w:val="false"/>
          <w:color w:val="000000"/>
          <w:sz w:val="20"/>
        </w:rPr>
        <w:t>in the Consolidated Financial Statements included herein for a more detailed discussion of our restructuring and other charges.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Other Income and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income and expense, net totaled $0.2 million for the six months ended June 30, 2026, a decrease of $100.6 million, from the prior year comparable period. This decrease was driven primarily by the same factors discussed above under “Comparison of Three-Month Periods Ended June 30, 2026 and 2025—Other Expense, net." In addition, during the first quarter of 2025, we determined we would sell certain available-for-sales securities in order to reposition the proceeds into higher yielding assets, which resulted in a realized loss of $24.8 million for the six months ended June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Income Tax Expense and Benefit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a breakdown of our effective tax rate among federal, state, and other:</w:t>
      </w:r>
    </w:p>
    <w:tbl>
      <w:tblPr>
        <w:tblW w:w="5827" w:type="dxa"/>
        <w:jc w:val="left"/>
        <w:tblInd w:w="0" w:type="dxa"/>
        <w:tblLayout w:type="fixed"/>
        <w:tblCellMar>
          <w:top w:w="28" w:type="dxa"/>
          <w:left w:w="28" w:type="dxa"/>
          <w:bottom w:w="28" w:type="dxa"/>
          <w:right w:w="28" w:type="dxa"/>
        </w:tblCellMar>
      </w:tblPr>
      <w:tblGrid>
        <w:gridCol w:w="1210"/>
        <w:gridCol w:w="1065"/>
        <w:gridCol w:w="1070"/>
        <w:gridCol w:w="240"/>
        <w:gridCol w:w="241"/>
        <w:gridCol w:w="445"/>
        <w:gridCol w:w="189"/>
        <w:gridCol w:w="189"/>
        <w:gridCol w:w="189"/>
        <w:gridCol w:w="233"/>
        <w:gridCol w:w="233"/>
        <w:gridCol w:w="523"/>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federal statutory tax rate</w:t>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tax benefit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rate differential</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business credits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IRC 162(m) limitation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(0.4)</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Bank-owned life insurance income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expenses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w:t>
            </w: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Nondeductible transaction related costs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w:t>
            </w: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intangible low-tax income tax</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w:t>
            </w: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w:t>
            </w:r>
            <w:r>
              <w:rPr>
                <w:color w:val="000000"/>
              </w:rPr>
              <w:t> </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income tax expense totaled $13.6 million for the six months ended June 30, 2026, representing an increase of $21.6 million from the prior year comparable period, primarily due to an increase in our income before taxes.</w:t>
      </w:r>
    </w:p>
    <w:p>
      <w:pPr>
        <w:pStyle w:val="TextBody"/>
        <w:bidi w:val="0"/>
        <w:spacing w:lineRule="auto" w:line="288" w:before="120" w:after="283"/>
        <w:ind w:left="0" w:right="0" w:firstLine="360"/>
        <w:jc w:val="both"/>
        <w:rPr/>
      </w:pPr>
      <w:r>
        <w:rPr>
          <w:rFonts w:ascii="Arial;sans-serif" w:hAnsi="Arial;sans-serif"/>
          <w:b w:val="false"/>
          <w:color w:val="000000"/>
          <w:sz w:val="20"/>
        </w:rPr>
        <w:t>The net decrease in our effective tax rate for the six months ended June 30, 2026 from the prior year comparable period was due to several factors, including a decrease of $1.4 million in tax expense associated with shortfalls from stock-based compensation, an increase of $0.9 million in the tax benefit from the cash surrender value in bank-owned life insurance policies, and a higher tax rate benefit due to an increase of $1.0 million in general business credits. These decreases were partially offset by an increase of $2.7 million in state income taxes expense, net of federal benefits, an increase of $0.4 million in the amount of compensation expense that was subject to the IRC 162(m) limitation on the deductibility of certain executive compensation, an increase of $0.4 million in nondeductible transaction related costs, and an increase in the valuation allowance recorded against our 2026 federal and state research credits. For the six months ended June 30, 2026, we recorded valuation allowances of $1.1 million</w:t>
      </w:r>
      <w:r>
        <w:rPr>
          <w:color w:val="000000"/>
        </w:rPr>
        <w:t xml:space="preserve"> </w:t>
      </w:r>
      <w:r>
        <w:rPr>
          <w:rFonts w:ascii="Arial;sans-serif" w:hAnsi="Arial;sans-serif"/>
          <w:b w:val="false"/>
          <w:color w:val="000000"/>
          <w:sz w:val="20"/>
        </w:rPr>
        <w:t xml:space="preserve">against our 2026 federal research credits, which is reflected in change in valuation allowance, and $1.1 million against our 2026 state research credits, reflected in state income taxes, net of federal tax benefit in our effective tax rate reconciliation.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"Other" category in our effective tax rate consists of a variety of permanent differences, none of which were individually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Segment Results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B2B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results of operations and key metrics of our B2B Services segment for the three and six months ended June 30, 2026 and 2025 were as follows:</w:t>
      </w:r>
    </w:p>
    <w:tbl>
      <w:tblPr>
        <w:tblW w:w="10805" w:type="dxa"/>
        <w:jc w:val="left"/>
        <w:tblInd w:w="0" w:type="dxa"/>
        <w:tblLayout w:type="fixed"/>
        <w:tblCellMar>
          <w:top w:w="28" w:type="dxa"/>
          <w:left w:w="28" w:type="dxa"/>
          <w:bottom w:w="28" w:type="dxa"/>
          <w:right w:w="28" w:type="dxa"/>
        </w:tblCellMar>
      </w:tblPr>
      <w:tblGrid>
        <w:gridCol w:w="304"/>
        <w:gridCol w:w="268"/>
        <w:gridCol w:w="269"/>
        <w:gridCol w:w="196"/>
        <w:gridCol w:w="751"/>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25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33"/>
        <w:gridCol w:w="233"/>
        <w:gridCol w:w="30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865,977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415,996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804,843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61,134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9964"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283"/>
        <w:jc w:val="both"/>
        <w:rPr>
          <w:rFonts w:ascii="Arial;sans-serif" w:hAnsi="Arial;sans-serif"/>
          <w:b w:val="false"/>
          <w:color w:val="000000"/>
          <w:sz w:val="16"/>
        </w:rPr>
      </w:pPr>
      <w:r>
        <w:rPr>
          <w:rFonts w:ascii="Arial;sans-serif" w:hAnsi="Arial;sans-serif"/>
          <w:b w:val="false"/>
          <w:color w:val="000000"/>
          <w:sz w:val="16"/>
        </w:rPr>
        <w:t>* Represents total number of active accounts as of June 30, 2026 and 2025, respectively.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additional supplemental information, our key metrics within our B2B Services segment is presented on a quarterly basis as follows:</w:t>
      </w:r>
    </w:p>
    <w:tbl>
      <w:tblPr>
        <w:tblW w:w="8440" w:type="dxa"/>
        <w:jc w:val="left"/>
        <w:tblInd w:w="0" w:type="dxa"/>
        <w:tblLayout w:type="fixed"/>
        <w:tblCellMar>
          <w:top w:w="28" w:type="dxa"/>
          <w:left w:w="28" w:type="dxa"/>
          <w:bottom w:w="28" w:type="dxa"/>
          <w:right w:w="28" w:type="dxa"/>
        </w:tblCellMar>
      </w:tblPr>
      <w:tblGrid>
        <w:gridCol w:w="777"/>
        <w:gridCol w:w="680"/>
        <w:gridCol w:w="687"/>
        <w:gridCol w:w="109"/>
        <w:gridCol w:w="109"/>
        <w:gridCol w:w="196"/>
        <w:gridCol w:w="646"/>
        <w:gridCol w:w="109"/>
        <w:gridCol w:w="196"/>
        <w:gridCol w:w="646"/>
        <w:gridCol w:w="109"/>
        <w:gridCol w:w="109"/>
        <w:gridCol w:w="109"/>
        <w:gridCol w:w="109"/>
        <w:gridCol w:w="196"/>
        <w:gridCol w:w="646"/>
        <w:gridCol w:w="109"/>
        <w:gridCol w:w="196"/>
        <w:gridCol w:w="646"/>
        <w:gridCol w:w="109"/>
        <w:gridCol w:w="196"/>
        <w:gridCol w:w="646"/>
        <w:gridCol w:w="109"/>
        <w:gridCol w:w="196"/>
        <w:gridCol w:w="646"/>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6493" w:type="dxa"/>
            <w:gridSpan w:val="2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1947" w:type="dxa"/>
            <w:gridSpan w:val="6"/>
            <w:tcBorders/>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Represents total number of active accounts as of the end of each quarter.</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Segment revenues within our B2B Services for the three and six months ended June 30, 2026 increased $99.8 million, or 29%, and $175.3 million, or 25%, respectively, from the prior year comparable periods, while our segment expenses for the three and six months ended June 30, 2026 increased $95.3 million, or 30%, and $169.3 million, or 27%, respectively.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gross dollar volume and number of active accounts increased during the three months ended June 30, 2026 by 22% and 9%, respectively, over the comparable prior year period, while purchase volume increased by 1% year over year. We have continued to experience organic growth from both new and existing users concentrated in certain BaaS programs that tend to yield higher gross dollar volume per active user but do not generate comparable levels of interchange fees. The growth in gross dollar volume from these BaaS programs resulted in a net increase in segment revenue for the three and six months ended June 30, 2026 due to higher program management service fees earned from these BaaS partners.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Segment expenses increased for the three and six months ended June 30, 2026 over the comparable prior year periods, principally due to higher processing expenses associated with the growth of certain BaaS account programs, partially offset by lower third-party call center support costs as a result of decreases in call volume and lower transaction losses due to decreases in our dispute loss rates and incoming volume. As a result of these factors, our segment profit increased for the three and six months ended June 30, 2026 by approximately 16% and 11%, respectively, from the prior year comparable periods. However, this segment also experienced margin compression because certain BaaS partnerships are largely structured based on a fixed profit and therefore, our segment profit for certain arrangements will not scale with revenue growth.</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Consumer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results of operations and key metrics of our Consumer Services segment for the three and six months ended June 30, 2026 and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tbl>
      <w:tblPr>
        <w:tblW w:w="10505" w:type="dxa"/>
        <w:jc w:val="left"/>
        <w:tblInd w:w="0" w:type="dxa"/>
        <w:tblLayout w:type="fixed"/>
        <w:tblCellMar>
          <w:top w:w="28" w:type="dxa"/>
          <w:left w:w="28" w:type="dxa"/>
          <w:bottom w:w="28" w:type="dxa"/>
          <w:right w:w="28" w:type="dxa"/>
        </w:tblCellMar>
      </w:tblPr>
      <w:tblGrid>
        <w:gridCol w:w="304"/>
        <w:gridCol w:w="268"/>
        <w:gridCol w:w="269"/>
        <w:gridCol w:w="196"/>
        <w:gridCol w:w="661"/>
        <w:gridCol w:w="109"/>
        <w:gridCol w:w="109"/>
        <w:gridCol w:w="109"/>
        <w:gridCol w:w="109"/>
        <w:gridCol w:w="196"/>
        <w:gridCol w:w="646"/>
        <w:gridCol w:w="109"/>
        <w:gridCol w:w="109"/>
        <w:gridCol w:w="109"/>
        <w:gridCol w:w="109"/>
        <w:gridCol w:w="196"/>
        <w:gridCol w:w="571"/>
        <w:gridCol w:w="109"/>
        <w:gridCol w:w="109"/>
        <w:gridCol w:w="109"/>
        <w:gridCol w:w="109"/>
        <w:gridCol w:w="239"/>
        <w:gridCol w:w="242"/>
        <w:gridCol w:w="256"/>
        <w:gridCol w:w="109"/>
        <w:gridCol w:w="109"/>
        <w:gridCol w:w="109"/>
        <w:gridCol w:w="196"/>
        <w:gridCol w:w="751"/>
        <w:gridCol w:w="109"/>
        <w:gridCol w:w="109"/>
        <w:gridCol w:w="109"/>
        <w:gridCol w:w="109"/>
        <w:gridCol w:w="196"/>
        <w:gridCol w:w="736"/>
        <w:gridCol w:w="109"/>
        <w:gridCol w:w="109"/>
        <w:gridCol w:w="109"/>
        <w:gridCol w:w="109"/>
        <w:gridCol w:w="196"/>
        <w:gridCol w:w="661"/>
        <w:gridCol w:w="109"/>
        <w:gridCol w:w="109"/>
        <w:gridCol w:w="109"/>
        <w:gridCol w:w="109"/>
        <w:gridCol w:w="239"/>
        <w:gridCol w:w="242"/>
        <w:gridCol w:w="30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171,233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119,931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9664"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deposit active accounts*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Represents total number of active and direct deposit active accounts as of June 30, 2026 and 2025, respectively.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additional supplemental information, our key metrics within our Consumer Services segment is presented on a quarterly basis as follows:</w:t>
      </w:r>
    </w:p>
    <w:tbl>
      <w:tblPr>
        <w:tblW w:w="8185" w:type="dxa"/>
        <w:jc w:val="left"/>
        <w:tblInd w:w="0" w:type="dxa"/>
        <w:tblLayout w:type="fixed"/>
        <w:tblCellMar>
          <w:top w:w="28" w:type="dxa"/>
          <w:left w:w="28" w:type="dxa"/>
          <w:bottom w:w="28" w:type="dxa"/>
          <w:right w:w="28" w:type="dxa"/>
        </w:tblCellMar>
      </w:tblPr>
      <w:tblGrid>
        <w:gridCol w:w="881"/>
        <w:gridCol w:w="770"/>
        <w:gridCol w:w="778"/>
        <w:gridCol w:w="109"/>
        <w:gridCol w:w="109"/>
        <w:gridCol w:w="196"/>
        <w:gridCol w:w="556"/>
        <w:gridCol w:w="109"/>
        <w:gridCol w:w="196"/>
        <w:gridCol w:w="556"/>
        <w:gridCol w:w="109"/>
        <w:gridCol w:w="109"/>
        <w:gridCol w:w="109"/>
        <w:gridCol w:w="109"/>
        <w:gridCol w:w="196"/>
        <w:gridCol w:w="556"/>
        <w:gridCol w:w="109"/>
        <w:gridCol w:w="196"/>
        <w:gridCol w:w="556"/>
        <w:gridCol w:w="109"/>
        <w:gridCol w:w="196"/>
        <w:gridCol w:w="556"/>
        <w:gridCol w:w="109"/>
        <w:gridCol w:w="196"/>
        <w:gridCol w:w="55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6418" w:type="dxa"/>
            <w:gridSpan w:val="2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1767" w:type="dxa"/>
            <w:gridSpan w:val="6"/>
            <w:tcBorders/>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active accounts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deposit active accounts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6"/>
        </w:rPr>
      </w:pPr>
      <w:r>
        <w:rPr>
          <w:rFonts w:ascii="Arial;sans-serif" w:hAnsi="Arial;sans-serif"/>
          <w:b w:val="false"/>
          <w:color w:val="000000"/>
          <w:sz w:val="16"/>
        </w:rPr>
        <w:t>* Represents total number of active accounts as of the end of each quarter.</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revenues within Consumer Services for the three and six months ended June 30, 2026 decreased $8.3 million, or 9%, and $17.1 million, or 9%, respectively, from the comparable prior year periods, while our segment expenses for the three and six months ended June 30, 2026 decreased by $1.1 million, or 2%, and $1.7 million, or 1%, respectively.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gross dollar volume and purchase volume declined by 7% and 10%, respectively, for the three months ended June 30, 2026 from the prior year comparable period, and the number of active accounts and direct deposit accounts declined by 12% and 7%, respectively, primarily due to each of the factors discussed above in "Overview." These factors include macro-economic factors leading to economic challenges for consumers and other competitive trends that have impacted account acquisition. Our gross dollar volume and purchase volume decreased year over year by similar levels during the six months ended June 30, 2026. As a result of these decreases in each of our key metrics, our monthly maintenance fee revenues, ATM fee revenues and interchange revenues decreased year over year. These decreases in segment revenues were partially offset by fees generated from our overdraft protection programs due to expanded usage by our accountholders.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Segment expenses for the three and six months ended June 30, 2026 decreased from the comparable prior year periods primarily due to a decrease in overall transaction losses attributable to lower customer dispute volume across our portfolios and favorable reductions in our dispute loss rates, lower supply chain material expenses due to fewer active accounts, and a decrease in sales commissions from lower revenues on products subject to tiered revenue-sharing agreements.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Overall, segment profit decreased for the three and six months ended June 30, 2026 by approximately 22% and 23%, respectively, from the prior year comparable periods.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Money Movement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results of operations and key metrics of our Money Movement Services segment for the three and six months ended June 30, 2026 and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tbl>
      <w:tblPr>
        <w:tblW w:w="10535" w:type="dxa"/>
        <w:jc w:val="left"/>
        <w:tblInd w:w="0" w:type="dxa"/>
        <w:tblLayout w:type="fixed"/>
        <w:tblCellMar>
          <w:top w:w="28" w:type="dxa"/>
          <w:left w:w="28" w:type="dxa"/>
          <w:bottom w:w="28" w:type="dxa"/>
          <w:right w:w="28" w:type="dxa"/>
        </w:tblCellMar>
      </w:tblPr>
      <w:tblGrid>
        <w:gridCol w:w="364"/>
        <w:gridCol w:w="268"/>
        <w:gridCol w:w="269"/>
        <w:gridCol w:w="196"/>
        <w:gridCol w:w="661"/>
        <w:gridCol w:w="109"/>
        <w:gridCol w:w="109"/>
        <w:gridCol w:w="109"/>
        <w:gridCol w:w="109"/>
        <w:gridCol w:w="196"/>
        <w:gridCol w:w="646"/>
        <w:gridCol w:w="109"/>
        <w:gridCol w:w="109"/>
        <w:gridCol w:w="109"/>
        <w:gridCol w:w="109"/>
        <w:gridCol w:w="196"/>
        <w:gridCol w:w="571"/>
        <w:gridCol w:w="109"/>
        <w:gridCol w:w="109"/>
        <w:gridCol w:w="109"/>
        <w:gridCol w:w="109"/>
        <w:gridCol w:w="248"/>
        <w:gridCol w:w="233"/>
        <w:gridCol w:w="256"/>
        <w:gridCol w:w="109"/>
        <w:gridCol w:w="109"/>
        <w:gridCol w:w="109"/>
        <w:gridCol w:w="196"/>
        <w:gridCol w:w="751"/>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301"/>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58,995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118,599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9634"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cash transfers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tax refunds processed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additional supplemental information, our key metrics within our Money Movement Services segment is presented on a quarterly basis as follows:</w:t>
      </w:r>
    </w:p>
    <w:tbl>
      <w:tblPr>
        <w:tblW w:w="6631" w:type="dxa"/>
        <w:jc w:val="left"/>
        <w:tblInd w:w="0" w:type="dxa"/>
        <w:tblLayout w:type="fixed"/>
        <w:tblCellMar>
          <w:top w:w="28" w:type="dxa"/>
          <w:left w:w="28" w:type="dxa"/>
          <w:bottom w:w="28" w:type="dxa"/>
          <w:right w:w="28" w:type="dxa"/>
        </w:tblCellMar>
      </w:tblPr>
      <w:tblGrid>
        <w:gridCol w:w="935"/>
        <w:gridCol w:w="819"/>
        <w:gridCol w:w="825"/>
        <w:gridCol w:w="109"/>
        <w:gridCol w:w="109"/>
        <w:gridCol w:w="233"/>
        <w:gridCol w:w="233"/>
        <w:gridCol w:w="111"/>
        <w:gridCol w:w="233"/>
        <w:gridCol w:w="233"/>
        <w:gridCol w:w="111"/>
        <w:gridCol w:w="109"/>
        <w:gridCol w:w="109"/>
        <w:gridCol w:w="109"/>
        <w:gridCol w:w="233"/>
        <w:gridCol w:w="233"/>
        <w:gridCol w:w="111"/>
        <w:gridCol w:w="233"/>
        <w:gridCol w:w="233"/>
        <w:gridCol w:w="111"/>
        <w:gridCol w:w="233"/>
        <w:gridCol w:w="233"/>
        <w:gridCol w:w="111"/>
        <w:gridCol w:w="233"/>
        <w:gridCol w:w="233"/>
        <w:gridCol w:w="156"/>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5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Q4</w:t>
            </w:r>
          </w:p>
        </w:tc>
        <w:tc>
          <w:tcPr>
            <w:tcW w:w="5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Q3</w:t>
            </w:r>
          </w:p>
        </w:tc>
        <w:tc>
          <w:tcPr>
            <w:tcW w:w="5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w:t>
            </w:r>
          </w:p>
        </w:tc>
        <w:tc>
          <w:tcPr>
            <w:tcW w:w="6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432" w:type="dxa"/>
            <w:gridSpan w:val="2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Metrics</w:t>
            </w:r>
          </w:p>
        </w:tc>
        <w:tc>
          <w:tcPr>
            <w:tcW w:w="1199" w:type="dxa"/>
            <w:gridSpan w:val="6"/>
            <w:tcBorders/>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cash 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tax refunds processed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revenues within our Money Movement Services decreased $4.0 million, or 8%, during the three months ended June 30, 2026, and increased $16.5 million, or 10%, during the six months ended June 30, 2026 from the prior year comparable period. Segment expenses for the three months ended June 30, 2026 remained consistent with the prior year comparable period and for the six months ended June 30, 2026 increased $8.8 million, or 18%.</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decrease in segment revenues for the three months ended June 30, 2026 was driven by lower tax processing revenues, which decreased due to a 23% decrease in the number of tax refunds processed and lower ancillary tax program fees that are associated with tax refund transfers. The decrease in the number of tax refunds processed was principally attributable to the performance of our online tax preparation partners. This decrease was partially offset by an increase in cash transfer revenues, which increased primarily due to higher disbursements revenue earned per transaction from a platform partner despite a 2% decrease in cash transfers processed. The decline in the number of cash transfers processed was primarily due to a lower number of active accounts within our Consumer Services segment, partially offset by a higher number of cash transfers processed for third-party programs.</w:t>
      </w:r>
    </w:p>
    <w:p>
      <w:pPr>
        <w:pStyle w:val="TextBody"/>
        <w:bidi w:val="0"/>
        <w:spacing w:lineRule="auto" w:line="288" w:before="120" w:after="120"/>
        <w:ind w:left="0" w:right="0" w:firstLine="360"/>
        <w:jc w:val="both"/>
        <w:rPr/>
      </w:pPr>
      <w:r>
        <w:rPr>
          <w:rFonts w:ascii="Arial;sans-serif" w:hAnsi="Arial;sans-serif"/>
          <w:b w:val="false"/>
          <w:color w:val="000000"/>
          <w:sz w:val="20"/>
        </w:rPr>
        <w:t>The increase in segment revenues for the six months ended June 30, 2026 was driven by an increase in our tax processing revenues and to a lesser extent, an increase in cash transfer revenues. Although the number of tax refunds processed decreased by 9% for the six months ended June 30, 2026, as compared to the prior year period, our tax processing revenues increased due to the expansion of our taxpayer advance programs. The decrease in the number of tax refunds processed was principally attributable to our online tax preparation partners. Our cash transfer revenues increased during the</w:t>
      </w:r>
      <w:r>
        <w:rPr>
          <w:color w:val="000000"/>
        </w:rPr>
        <w:t xml:space="preserve"> </w:t>
      </w:r>
      <w:r>
        <w:rPr>
          <w:rFonts w:ascii="Arial;sans-serif" w:hAnsi="Arial;sans-serif"/>
          <w:b w:val="false"/>
          <w:color w:val="000000"/>
          <w:sz w:val="20"/>
        </w:rPr>
        <w:t>six months ended June 30, 2026 primarily due to higher disbursements revenue earned per transaction from a platform partner despite a 4% decrease in the number of cash transfers. The decline in the number of cash transfers processed was primarily due to a lower number of active accounts within our Consumer Services segment and to a lesser extent, a lower number of cash transfers processed for third-party programs.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Segment expenses during the three months ended June 30, 2026 remained consistent year over year, but increased during the six months ended June 30, 2026 primarily from an increase in third-party costs and related expenses due to growth across our tax processing services and taxpayer advance programs. Overall, segment profit decreased for the three months ended June 30, 2026 by 12%, but increased for six months ended June 30, 2026 by approximately 7% from the prior year comparable period.</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Corporate and Other</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results of operations and key metrics of our Corporate and Other segment for the three and six months ended June 30, 2026 and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tbl>
      <w:tblPr>
        <w:tblW w:w="10505" w:type="dxa"/>
        <w:jc w:val="left"/>
        <w:tblInd w:w="0" w:type="dxa"/>
        <w:tblLayout w:type="fixed"/>
        <w:tblCellMar>
          <w:top w:w="28" w:type="dxa"/>
          <w:left w:w="28" w:type="dxa"/>
          <w:bottom w:w="28" w:type="dxa"/>
          <w:right w:w="28" w:type="dxa"/>
        </w:tblCellMar>
      </w:tblPr>
      <w:tblGrid>
        <w:gridCol w:w="537"/>
        <w:gridCol w:w="320"/>
        <w:gridCol w:w="269"/>
        <w:gridCol w:w="196"/>
        <w:gridCol w:w="661"/>
        <w:gridCol w:w="109"/>
        <w:gridCol w:w="109"/>
        <w:gridCol w:w="109"/>
        <w:gridCol w:w="109"/>
        <w:gridCol w:w="196"/>
        <w:gridCol w:w="661"/>
        <w:gridCol w:w="109"/>
        <w:gridCol w:w="109"/>
        <w:gridCol w:w="109"/>
        <w:gridCol w:w="109"/>
        <w:gridCol w:w="196"/>
        <w:gridCol w:w="556"/>
        <w:gridCol w:w="109"/>
        <w:gridCol w:w="109"/>
        <w:gridCol w:w="109"/>
        <w:gridCol w:w="109"/>
        <w:gridCol w:w="194"/>
        <w:gridCol w:w="197"/>
        <w:gridCol w:w="256"/>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233"/>
        <w:gridCol w:w="233"/>
        <w:gridCol w:w="301"/>
      </w:tblGrid>
      <w:tr>
        <w:trPr/>
        <w:tc>
          <w:tcPr>
            <w:tcW w:w="5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Results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revenue and inter-segment eliminations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corporate expenses and inter-segment eliminations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116,932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(48,247)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(49,761)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(88,419)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ind w:left="0" w:right="0" w:firstLine="360"/>
        <w:jc w:val="both"/>
        <w:rPr/>
      </w:pPr>
      <w:r>
        <w:rPr>
          <w:rFonts w:ascii="Arial;sans-serif" w:hAnsi="Arial;sans-serif"/>
          <w:b w:val="false"/>
          <w:color w:val="000000"/>
          <w:sz w:val="20"/>
        </w:rPr>
        <w:t xml:space="preserve">Revenues within Corporate and Other are comprised of net interest income, certain other investment income earned by our bank, interest profit sharing arrangements with certain BaaS partners (a reduction of revenue) and eliminations of inter-segment revenues. Unallocated corporate expenses include eliminations of inter-segment expenses and our fixed expenses such as salaries, wages and related benefits for our employees, professional services fees, software licenses, telephone and communication costs, rent, utilities and insurance. These costs are not considered when our CODM evaluates the performance of our three reportable segments since they are not directly attributable to any reporting segment. Non-cash expenses such as stock-based compensation, depreciation and amortization of long-lived assets, impairment charges and other non-recurring expenses that are not considered by our CODM when evaluating our overall consolidated financial results are excluded from our unallocated corporate expenses above. Refer to </w:t>
      </w:r>
      <w:r>
        <w:rPr>
          <w:rFonts w:ascii="Arial;sans-serif" w:hAnsi="Arial;sans-serif"/>
          <w:b w:val="false"/>
          <w:i/>
          <w:color w:val="000000"/>
          <w:sz w:val="20"/>
        </w:rPr>
        <w:t>Note 20—Segment Information</w:t>
      </w:r>
      <w:r>
        <w:rPr>
          <w:color w:val="000000"/>
        </w:rPr>
        <w:t xml:space="preserve"> </w:t>
      </w:r>
      <w:r>
        <w:rPr>
          <w:rFonts w:ascii="Arial;sans-serif" w:hAnsi="Arial;sans-serif"/>
          <w:b w:val="false"/>
          <w:color w:val="000000"/>
          <w:sz w:val="20"/>
        </w:rPr>
        <w:t>to the Consolidated Financial Statements included herein for a summary reconciliation.</w:t>
      </w:r>
    </w:p>
    <w:p>
      <w:pPr>
        <w:pStyle w:val="TextBody"/>
        <w:bidi w:val="0"/>
        <w:spacing w:lineRule="auto" w:line="288" w:before="120" w:after="120"/>
        <w:ind w:left="0" w:right="0" w:firstLine="360"/>
        <w:jc w:val="both"/>
        <w:rPr/>
      </w:pPr>
      <w:r>
        <w:rPr>
          <w:rFonts w:ascii="Arial;sans-serif" w:hAnsi="Arial;sans-serif"/>
          <w:b w:val="false"/>
          <w:color w:val="000000"/>
          <w:sz w:val="20"/>
        </w:rPr>
        <w:t>Revenues within our Corporate and Other segment increased during the three and six months ended June 30, 2026 by 31%</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67%, respectively, from the prior year comparable periods, driven primarily by a decrease in interest profit sharing arrangements with certain BaaS partners (a reduction of revenue). In addition, the increase during the six months ended June 30, 2026 was driven by an increase in net interest income earned by Green Dot Bank, primarily the result of both the size of our investments portfolio and higher yielding investments therein from our bond repositioning strategy.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Unallocated corporate expenses for the three and six months ended June 30, 2026 increased by approximately 2% and 3%, respectively, over the prior year comparable periods. The increase in unallocated corporate expenses for the three and six months ended June 30, 2026 was driven primarily by higher professional services fees related to our AML regulatory compliance initiatives and higher software licenses and hosting costs due to investments in our platform and operations, partially offset by a decrease in salary and wage expenses due to the closure of our China operations announced in September 2025 and lower accrued bonus compensation expense due to our financial performance in the prior year period exceeding our bonus targets.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our major sources and uses of cash for the periods presented:</w:t>
      </w:r>
    </w:p>
    <w:tbl>
      <w:tblPr>
        <w:tblW w:w="8424" w:type="dxa"/>
        <w:jc w:val="left"/>
        <w:tblInd w:w="0" w:type="dxa"/>
        <w:tblLayout w:type="fixed"/>
        <w:tblCellMar>
          <w:top w:w="28" w:type="dxa"/>
          <w:left w:w="28" w:type="dxa"/>
          <w:bottom w:w="28" w:type="dxa"/>
          <w:right w:w="28" w:type="dxa"/>
        </w:tblCellMar>
      </w:tblPr>
      <w:tblGrid>
        <w:gridCol w:w="2135"/>
        <w:gridCol w:w="1875"/>
        <w:gridCol w:w="1885"/>
        <w:gridCol w:w="196"/>
        <w:gridCol w:w="811"/>
        <w:gridCol w:w="109"/>
        <w:gridCol w:w="109"/>
        <w:gridCol w:w="109"/>
        <w:gridCol w:w="109"/>
        <w:gridCol w:w="196"/>
        <w:gridCol w:w="736"/>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provided by (used in)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(627,790)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154,797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increase in unrestricted cash, cash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(278,308)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720,127 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For the six months ended June 30, 2026 and 2025, we financed our operations primarily through our cash flows provided by operating activities and customer funds held on deposit. As of June 30, 2026, our primary source of liquidity was unrestricted cash and cash equivalents totaling $1.1 billion. We also consider our $3.0 billion of available-for-sale investment securities to be highly liquid instruments.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use trend and variance analysis as well as our detailed budgets and forecasts to project future cash needs, making adjustments to the projections when needed. We believe that our current unrestricted cash and cash equivalents, cash flows from operations, borrowing capacity under our revolving line of credit, and our ability to access borrowings from the FHLB will be sufficient to meet our working capital, capital expenditures, and any other capital needs for at least the next 12 months. We are currently not aware of any trends or demands, commitments, events or uncertainties that will result in or that are reasonably likely to result in our liquidity increasing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decreasing in any material way that will impact our capital needs during or beyond the next 12 months. We continue to monitor the impact of material trends on our business to ensure our liquidity and capital resources remain appropriate throughout this period of uncertainty.</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Cash Flows from Operating Activities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$194.7 million of net cash provided by operating activities during the six months ended June 30, 2026 was the result of $51.7 million of net income, adjusted for certain non-cash operating items of $86.9 million and increases in net changes in our working capital assets and liabilities of $56.1 million.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$177.7 million of net cash provided by operating activities during the six months ended June 30, 2025 was the result of $21.3 million of net loss, adjusted for certain non-cash operating items of $173.1 million and increases in net changes in our working capital assets and liabilities of $25.8 million.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Cash Flows from Investing Activities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$627.8 million of net cash used in investing activities during the six months ended June 30, 2026 was primarily due to purchases of available-for-sale securities, net of proceeds from sales and maturities, of $575.6 million, and to a lesser extent, the acquisition of property and equipment of $38.9 million, and net changes in loans of $12.3 million.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$501.7 million of net cash provided by investing activities during the six months ended June 30, 2025 was primarily due to proceeds from sales and maturities of available-for-sale securities, net of purchases, of $558.9 million, partially offset by the acquisition of property and equipment of $38.9 million and net changes in loans of $17.4 million.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Cash Flows from Financing Activities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$154.8 million of net cash provided by financing activities during the six months ended June 30, 2026 was principally the result of a net increase in customer deposits of $185.6 million, partially offset by a net decrease in obligations to customers of $26.4 million. </w:t>
      </w:r>
    </w:p>
    <w:p>
      <w:pPr>
        <w:pStyle w:val="TextBody"/>
        <w:bidi w:val="0"/>
        <w:spacing w:lineRule="auto" w:line="288" w:before="120" w:after="120"/>
        <w:ind w:left="0" w:right="0" w:firstLine="360"/>
        <w:jc w:val="both"/>
        <w:rPr/>
      </w:pPr>
      <w:r>
        <w:rPr>
          <w:rFonts w:ascii="Arial;sans-serif" w:hAnsi="Arial;sans-serif"/>
          <w:b w:val="false"/>
          <w:color w:val="000000"/>
          <w:sz w:val="20"/>
        </w:rPr>
        <w:t>Our $40.8 million of net cash provided by financing activities during the six months ended June 30, 2025 was principally the result of a net increase in customer deposits of $86.3 million and borrowings on our notes payable $14.9 million</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partially offset by a net decrease in obligations to customers of $60.0 million. Refer to additional discussion below for our borrowings and repayments of debt.</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Other Sources of Liquidity</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Senior Unsecured Notes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2024 and 2025, we issued and sold senior unsecured notes (the "Notes") in an aggregate principal amount of $65 million. The Notes have a five-year term, maturing September 15, 2029. The principal amounts bear interest at a fixed rate of 8.75% per annum, payable semi-annually in arrears. The net proceeds of the offering were used to repay outstanding indebtedness under our revolving credit facility discussed below, and for general corporate purposes.</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2025 Revolving Facility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In February 2025, we entered into a new revolving line of credit agreement with a financial institution up to a maximum principal amount of $20 million, subject to borrowing base limitations defined under the terms of the agreement. The line of credit matures in August 2027 and will bear interest at variable market rates, but subject to a minimum rate of 6.0% per annum. Interest payments are due monthly, and accrue based on the then-outstanding principal balance. We had no outstanding balance as of June 30, 2026.</w:t>
      </w:r>
    </w:p>
    <w:p>
      <w:pPr>
        <w:pStyle w:val="TextBody"/>
        <w:bidi w:val="0"/>
        <w:spacing w:lineRule="auto" w:line="288" w:before="120" w:after="120"/>
        <w:ind w:left="0" w:right="0" w:firstLine="360"/>
        <w:jc w:val="both"/>
        <w:rPr>
          <w:rFonts w:ascii="Arial;sans-serif" w:hAnsi="Arial;sans-serif"/>
          <w:b w:val="false"/>
          <w:i/>
          <w:color w:val="000000"/>
          <w:sz w:val="20"/>
        </w:rPr>
      </w:pPr>
      <w:r>
        <w:rPr>
          <w:rFonts w:ascii="Arial;sans-serif" w:hAnsi="Arial;sans-serif"/>
          <w:b w:val="false"/>
          <w:i/>
          <w:color w:val="000000"/>
          <w:sz w:val="20"/>
        </w:rPr>
        <w:t>Other Sources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Green Dot Bank has the ability to access various sources of funding, including advances from the FHLB and the Federal Reserve's discount window. Availability of these borrowings is subject to various factors, including maintaining eligibility requirements and the amount of pledged collateral. These sources may be used from time to time to support our short-term liquidity needs and lines of business. We had no outstanding in advances from the FHLB as of June 30, 2026.</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Material Cash Requirements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While the overall macro-economic environment, the effect of high inflation and interest rates, and other factors described in "Outlook and Other Trends Affecting Our Business" above have created economic uncertainty and impacted how we manage our liquidity and capital resources, we intend to continue to invest in growth and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efficiency initiatives in the normal course of business, subject to the consummation of the proposed transactions with CommerceOne and Smith Ventures. The amount and timing of these investments and the related cash outflows in future periods are difficult to predict and is dependent on a number of factors including the rate of change of computer hardware and software used in our business and our business outlook as a result of macro-economic uncertainties. We intend to continue to invest in new products and programs, new features for our existing products and IT infrastructure in order to scale and operate effectively to meet our strategic objectives. However, we expect our capital expenditures in 2026 to be lower compared to our annual investments in 2025. We expect to fund these capital expenditures primarily through our cash flows provided by operating activities.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have used cash to acquire businesses and technologies and we anticipate that we may continue to do so in the future. The nature of these transactions, however, makes it difficult to predict the amount and timing of such cash requirements. Additionally, we have made and may further make periodic cash contributions to our subsidiary bank, Green Dot Bank, to maintain its capital, leverage and other financial commitments at levels we have agreed to with our regulators. We may need to increase the size of our cash contributions to Green Dot Bank to maintain its capital, leverage and other financial commitments.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Contractual Obligations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There have been no material changes during the six months ended June 30, 2026 to our contractual obligations disclosed in Management's Discussion and Analysis of Financial Condition and Results of Operations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Capital Requirements for Bank Holding Companies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subsidiary bank, Green Dot Bank, is a member bank of the Federal Reserve System and our primary regulators are the Federal Reserve and the Utah Department of Financial Institutions (the "Utah DFI"). We and Green Dot Bank are subject to various regulatory capital requirements administered by the banking agencies. Failure to meet minimum capital requirements can initiate certain mandatory actions by regulators that, if undertaken, could have a direct material effect on our financial statements. Under capital adequacy guidelines, we and Green Dot Bank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Basel III rules, which were promulgated by the Federal Reserve and other U.S. banking regulators, provide for risk-based capital, leverage and liquidity standards. Under the Basel III rules, we must maintain a ratio of common equity Tier 1 capital to risk-weighted assets of at least 4.5%, a ratio of Tier 1 capital to risk-weighted assets of at least 6%, a ratio of total capital to risk-weighted assets of at least 8% and a minimum Tier 1 leverage ratio of 4.0%. Either or both of Green Dot Corporation and Green Dot Bank may qualify for and opt to use, from time to time, the community bank leverage ratio framework under the Federal Reserve’s version of the U.S. Basel III Rules. Under the community bank leverage ratio framework, a qualifying community banking organization may generally satisfy its capital requirements (and capital conservation buffer) under the U.S. Basel III rules provided that it has a Tier 1 leverage ratio greater than 9% and satisfies other applicable conditions. Green Dot Corporation and Green Dot Bank qualify for and opt into use of the community bank leverage ratio framework. We expect that Green Dot Corporation will continue to qualify for and use the community bank leverage ratio framework, and that Green Dot Bank will calculate and disclose its risk-based capital ratios and Tier 1 leverage ratio under standardized approach of the U.S. Basel III Rules.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June 30, 2026 and December 31, 2025, we and Green Dot Bank were categorized as "well-capitalized" under applicable regulatory standards. To be categorized as "well-capitalized," we and Green Dot Bank must maintain specific total risk-based, Tier 1 risk-based and Tier 1 leverage ratios as set forth in the table below. There were no conditions or events since June 30, 2026, which management believes would have changed our category as "well-capitalized."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definitions associated with the amounts and ratios below are as follows:</w:t>
      </w:r>
    </w:p>
    <w:tbl>
      <w:tblPr>
        <w:tblW w:w="10205" w:type="dxa"/>
        <w:jc w:val="left"/>
        <w:tblInd w:w="0" w:type="dxa"/>
        <w:tblLayout w:type="fixed"/>
        <w:tblCellMar>
          <w:top w:w="28" w:type="dxa"/>
          <w:left w:w="28" w:type="dxa"/>
          <w:bottom w:w="28" w:type="dxa"/>
          <w:right w:w="28" w:type="dxa"/>
        </w:tblCellMar>
      </w:tblPr>
      <w:tblGrid>
        <w:gridCol w:w="766"/>
        <w:gridCol w:w="438"/>
        <w:gridCol w:w="443"/>
        <w:gridCol w:w="109"/>
        <w:gridCol w:w="109"/>
        <w:gridCol w:w="109"/>
        <w:gridCol w:w="2557"/>
        <w:gridCol w:w="2340"/>
        <w:gridCol w:w="3334"/>
      </w:tblGrid>
      <w:tr>
        <w:trPr/>
        <w:tc>
          <w:tcPr>
            <w:tcW w:w="76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Definition</w:t>
            </w:r>
          </w:p>
        </w:tc>
      </w:tr>
      <w:tr>
        <w:trPr/>
        <w:tc>
          <w:tcPr>
            <w:tcW w:w="16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divided by average total assets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Common equity Tier 1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Common equity Tier 1 capital divided by risk-weighted assets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divided by risk-weighted assets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Total risk-based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Total capital divided by risk-weighted assets</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Terms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Definition</w:t>
            </w:r>
          </w:p>
        </w:tc>
      </w:tr>
      <w:tr>
        <w:trPr/>
        <w:tc>
          <w:tcPr>
            <w:tcW w:w="16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 and</w:t>
              <w:br/>
              <w:t>Common equity 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 xml:space="preserve">Includes common stock and retained earnings, adjusted for items primarily related to accumulated OCI, goodwill, deferred tax assets and intangibles. </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Tier 1 capital plus supplemental capital items such as the allowance for credit losses, subject to certain limits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Average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Average total consolidated assets during the period less deductions and adjustments primarily related to goodwill, deferred tax assets and intangibles assets</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Represents the amount of assets or exposure multiplied by the standardized risk weight (%) associated with that type of asset or exposure. The standardized risk weights are prescribed in the bank capital rules and reflect regulatory judgment regarding the riskiness of a type of asset or exposure</w:t>
            </w:r>
          </w:p>
        </w:tc>
      </w:tr>
    </w:tbl>
    <w:p>
      <w:pPr>
        <w:pStyle w:val="TextBody"/>
        <w:bidi w:val="0"/>
        <w:spacing w:before="12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The actual amounts and ratios, and required "well-capitalized" minimum capital amounts and ratios at June 30, 2026 and December 31, 2025 were as follows:</w:t>
      </w:r>
    </w:p>
    <w:tbl>
      <w:tblPr>
        <w:tblW w:w="9119" w:type="dxa"/>
        <w:jc w:val="left"/>
        <w:tblInd w:w="0" w:type="dxa"/>
        <w:tblLayout w:type="fixed"/>
        <w:tblCellMar>
          <w:top w:w="28" w:type="dxa"/>
          <w:left w:w="28" w:type="dxa"/>
          <w:bottom w:w="28" w:type="dxa"/>
          <w:right w:w="28" w:type="dxa"/>
        </w:tblCellMar>
      </w:tblPr>
      <w:tblGrid>
        <w:gridCol w:w="808"/>
        <w:gridCol w:w="712"/>
        <w:gridCol w:w="715"/>
        <w:gridCol w:w="196"/>
        <w:gridCol w:w="751"/>
        <w:gridCol w:w="109"/>
        <w:gridCol w:w="109"/>
        <w:gridCol w:w="109"/>
        <w:gridCol w:w="109"/>
        <w:gridCol w:w="240"/>
        <w:gridCol w:w="241"/>
        <w:gridCol w:w="286"/>
        <w:gridCol w:w="109"/>
        <w:gridCol w:w="109"/>
        <w:gridCol w:w="109"/>
        <w:gridCol w:w="403"/>
        <w:gridCol w:w="403"/>
        <w:gridCol w:w="949"/>
        <w:gridCol w:w="109"/>
        <w:gridCol w:w="109"/>
        <w:gridCol w:w="109"/>
        <w:gridCol w:w="487"/>
        <w:gridCol w:w="487"/>
        <w:gridCol w:w="1351"/>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Regulatory 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"Well-capitalized" Minimum</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ratios)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Corporation: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Tier 1 capital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771,040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Bank: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493,805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493,805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493,805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500,850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w:t>
            </w:r>
            <w:r>
              <w:rPr>
                <w:color w:val="000000"/>
              </w:rPr>
              <w:t>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Regulatory 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"Well-capitalized" Minimum</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ratios)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Corporation: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Green Dot Bank: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leverage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Tier 1 capital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risk-based capital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Market risk is the potential for economic losses from changes in market factors such as foreign currency exchange rates, credit, interest rates and equity prices. We believe that we have limited exposure to risks associated with changes in foreign currency exchange rates, interest rates and equity prices. We have not had any significant foreign operations and have fully exited our operational activities in China as of the end of December 2025. We do not hold or enter into derivatives or other financial instruments for trading or speculative purposes.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Interest rates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While operating net interest income is a meaningful component to our consolidated operating results, we do not consider our investment portfolio to be subject to material interest rate risk since it is comprised predominantly of fixed rate securities. The composition of our portfolio is price sensitive to rate changes, which can impact unrealized gains or losses in our portfolio. However, we have the ability, liquidity and intent to hold these instruments until such securities in our portfolio recover their amortized cost bases, which may be at maturity. Our cash and cash equivalents are also subject to changes in short-term rates. The Federal Open Market Committee ("FOMC") decreased the federal funds target rate in September 2024 to a range of 4.75%-5.0%, the first rate cut in over four years, and has further made a series of interest rate reductions since then to a current range of 3.50% to 3.75%. The FOMC's decision-making policies for short-term interest rates will continue to impact the amount of net interest income we earn in the future. In general, while increases in short-term interest rates benefit the yield we earn on our cash, certain of our BaaS partner arrangements allow for the BaaS partner to share in a significant portion of the interest earned from accountholder deposits (which are recorded as a reduction of revenue in our consolidated financial statements) and fixed yields on our investment portfolio tend to lag interest rate increases as securities mature and proceeds are reinvested. Accordingly, the net effect has had and we expect will continue to have a negative impact on our consolidated financial statements and will be dependent upon future interest rate changes enacted by the Federal Reserve. In an effort to mitigate these impacts, beginning in the second quarter of 2025, we started to gradually reposition a portion of our investment securities portfolio and our cash into variable rate debt securities to improve net yields, and we continue with our investment strategies to balance the effect of our interest sharing arrangements with BaaS partners.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In 2024 and 2025, we issued and sold Notes in an aggregate principal amount of $65 million. The principal amounts of the Notes bear interest at a fixed rate of 8.75% per annum, payable semi-annually in arrears and maturing in September 2029. Refer to </w:t>
      </w:r>
      <w:r>
        <w:rPr>
          <w:rFonts w:ascii="Arial;sans-serif" w:hAnsi="Arial;sans-serif"/>
          <w:b w:val="false"/>
          <w:i/>
          <w:color w:val="000000"/>
          <w:sz w:val="20"/>
        </w:rPr>
        <w:t>Note 9 — Debt</w:t>
      </w:r>
      <w:r>
        <w:rPr>
          <w:color w:val="000000"/>
        </w:rPr>
        <w:t xml:space="preserve"> </w:t>
      </w:r>
      <w:r>
        <w:rPr>
          <w:rFonts w:ascii="Arial;sans-serif" w:hAnsi="Arial;sans-serif"/>
          <w:b w:val="false"/>
          <w:color w:val="000000"/>
          <w:sz w:val="20"/>
        </w:rPr>
        <w:t xml:space="preserve">to the Consolidated Financial Statements included herein for additional information. Should we require additional liquidity, our borrowings are expected to be at then current market rates of interest and may expose us to interest rate risk. Although any short-term borrowings would likely be insensitive to interest rate changes, interest expense on short-term borrowings will increase and decrease with changes in the underlying short-term interest rates.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actively monitor our interest rate exposure and our objective is to reduce, where we deem appropriate to do so, fluctuations in earnings and cash flows associated with changes in interest rates. In order to accomplish this objective, we may enter into derivative financial instruments, such as forward contracts and interest rate hedge contracts only to the extent necessary to manage our exposure. We do not hold or enter into derivatives or other financial instruments for trading or speculative purposes.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Inflation risks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It is difficult to assess whether inflation has or will have a material effect on our business, financial condition or results of operations. Nonetheless, if our borrowing rates were to become subject to significant inflationary pressures, we may not be able to fully offset such higher costs through rate increases. Our inability or failure to do so could harm our business, financial condition and results of operations. Additionally, interest rate increases may adversely impact our customers’ spending levels or our customers’ ability to pay outstanding amounts owed to us. However, we believe this risk is largely offset by the higher interest rate yields on our cash and investment portfolios as well as anticipated increases in consumer spending caused by inflation that would result in increased interchange revenue. Further, because the majority of our investment portfolio is subject to longer maturity dates, we believe the risk of realized losses from selling fixed income securities at a discount to the market is immaterial relative to the size of our portfolio.</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Credit and liquidity risks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are exposed to credit and liquidity risks associated with the financial institutions that hold our cash and cash equivalents, restricted cash, available-for-sale investment securities, settlement assets due from retail distributors, third-party payment processors and other partners that collect funds and fees from our customers, and amounts due from our issuing banks for fees collected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manage the credit and liquidity risks associated with our cash and cash equivalents, available-for-sale investment securities, loans and amounts due from issuing banks by maintaining an investment policy that restricts our correspondent banking relationships to approved, well-capitalized institutions and restricts investments to highly liquid, low credit risk assets. Our policy has limits related to liquidity ratios, the concentration that we may have with a single institution or issuer and effective maturity dates as well as restrictions on the type of assets that we may invest in. The management Asset Liability Committee is responsible for monitoring compliance with our Capital Asset Liability Management policy and related limits on an ongoing basis, and reports regularly to the risk committee of our Board of Directors.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exposure to credit risk associated with settlement assets is mitigated due to the short time period, currently an average of two days that settlement assets are outstanding. We perform an initial credit review and assign a credit limit to each new retail distributor, third-party payment processors and other partners. We monitor each partner's settlement asset exposure and its compliance with its specified contractual settlement terms on a daily basis and assess their credit limit and financial condition on a periodic basis. Our management's Enterprise Risk Management Committee is responsible for monitoring partner exposure and assigning credit limits and reports regularly to the risk committee of our Board of Directors. We continue to monitor our exposure to credit risk with our retail distributors and other business partners in light of the current macro-economic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ind w:left="0" w:right="0" w:firstLine="360"/>
        <w:jc w:val="both"/>
        <w:rPr/>
      </w:pPr>
      <w:r>
        <w:rPr>
          <w:rFonts w:ascii="Arial;sans-serif" w:hAnsi="Arial;sans-serif"/>
          <w:b w:val="false"/>
          <w:i/>
          <w:color w:val="000000"/>
          <w:sz w:val="20"/>
        </w:rPr>
        <w:t>Disclosure controls and procedures —</w:t>
      </w:r>
      <w:r>
        <w:rPr>
          <w:color w:val="000000"/>
        </w:rPr>
        <w:t xml:space="preserve"> </w:t>
      </w:r>
      <w:r>
        <w:rPr>
          <w:rFonts w:ascii="Arial;sans-serif" w:hAnsi="Arial;sans-serif"/>
          <w:b w:val="false"/>
          <w:color w:val="000000"/>
          <w:sz w:val="20"/>
        </w:rPr>
        <w:t xml:space="preserve">Our management, with the participation of our Chief Executive Officer and Chief Financial Officer, has evaluated the effectiveness of our disclosure controls and procedures (as defined in Exchange Act Rules 13a-15(e) and 15d-15(e)) at the end of the period covered by this report. </w:t>
      </w:r>
      <w:r>
        <w:rPr>
          <w:rFonts w:ascii="Arial;sans-serif" w:hAnsi="Arial;sans-serif"/>
          <w:b w:val="false"/>
          <w:color w:val="000000"/>
          <w:sz w:val="20"/>
          <w:shd w:fill="FFFFFF" w:val="clear"/>
        </w:rPr>
        <w:t>Based on such evaluation of our disclosure controls and procedures, our Chief Executive Officer and Chief Financial Officer have concluded that, at the end of such period, our disclosure controls and procedures were effective to ensure that information required to be disclosed by us in reports that we file or submit under the Exchange Act is recorded, processed, summarized and reported within the time periods specified in the rules and forms of the Securities and Exchange Commission (the "SEC") and is accumulated and communicated to our management, including our Chief Executive Officer and Chief Financial Officer, as appropriate, to allow timely decisions regarding required disclosure.</w:t>
      </w:r>
    </w:p>
    <w:p>
      <w:pPr>
        <w:pStyle w:val="TextBody"/>
        <w:bidi w:val="0"/>
        <w:spacing w:lineRule="auto" w:line="288" w:before="120" w:after="283"/>
        <w:ind w:left="0" w:right="0" w:firstLine="360"/>
        <w:jc w:val="both"/>
        <w:rPr/>
      </w:pPr>
      <w:r>
        <w:rPr>
          <w:rFonts w:ascii="Arial;sans-serif" w:hAnsi="Arial;sans-serif"/>
          <w:b w:val="false"/>
          <w:i/>
          <w:color w:val="000000"/>
          <w:sz w:val="20"/>
        </w:rPr>
        <w:t>Change in internal control over financial reporting —</w:t>
      </w:r>
      <w:r>
        <w:rPr>
          <w:color w:val="000000"/>
        </w:rPr>
        <w:t xml:space="preserve"> </w:t>
      </w:r>
      <w:r>
        <w:rPr>
          <w:rFonts w:ascii="Arial;sans-serif" w:hAnsi="Arial;sans-serif"/>
          <w:b w:val="false"/>
          <w:color w:val="000000"/>
          <w:sz w:val="20"/>
        </w:rPr>
        <w:t>There was no material change in our internal control over financial reporting (as defined in Exchange Act Rules 13a-15(f) and 15d-15(f)) during the three months ended June 30, 2026 that has materially affected, or is reasonably likely to materially affect, our internal control over financial reporting. We have not experienced a</w:t>
      </w:r>
      <w:r>
        <w:rPr>
          <w:rFonts w:ascii="Arial;sans-serif" w:hAnsi="Arial;sans-serif"/>
          <w:b w:val="false"/>
          <w:color w:val="000000"/>
          <w:sz w:val="20"/>
          <w:shd w:fill="FFFFFF" w:val="clear"/>
        </w:rPr>
        <w:t>ny significant impact to our internal controls over financial reporting despite the fact that most of our employees have shifted to a remote workforce strategy in the U.S. The design of our processes and controls allows for remote execution with accessibility to secure data. We are continually monitoring and assessing our remote work environment to minimize the impact, if any, on the design and operating effectiveness on our internal controls.</w:t>
      </w:r>
    </w:p>
    <w:p>
      <w:pPr>
        <w:pStyle w:val="TextBody"/>
        <w:bidi w:val="0"/>
        <w:spacing w:lineRule="auto" w:line="288" w:before="120" w:after="283"/>
        <w:ind w:left="0" w:right="0" w:firstLine="360"/>
        <w:jc w:val="both"/>
        <w:rPr/>
      </w:pPr>
      <w:r>
        <w:rPr>
          <w:rFonts w:ascii="Arial;sans-serif" w:hAnsi="Arial;sans-serif"/>
          <w:b w:val="false"/>
          <w:i/>
          <w:color w:val="000000"/>
          <w:sz w:val="20"/>
        </w:rPr>
        <w:t>Limitations on Effectiveness of Controls —</w:t>
      </w:r>
      <w:r>
        <w:rPr>
          <w:color w:val="000000"/>
        </w:rPr>
        <w:t xml:space="preserve"> </w:t>
      </w:r>
      <w:r>
        <w:rPr>
          <w:rFonts w:ascii="Arial;sans-serif" w:hAnsi="Arial;sans-serif"/>
          <w:b w:val="false"/>
          <w:color w:val="000000"/>
          <w:sz w:val="20"/>
          <w:shd w:fill="FFFFFF" w:val="clear"/>
        </w:rPr>
        <w:t xml:space="preserve">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w:t>
      </w:r>
      <w:r>
        <w:rPr>
          <w:rFonts w:ascii="Arial;sans-serif" w:hAnsi="Arial;sans-serif"/>
          <w:b w:val="false"/>
          <w:color w:val="000000"/>
          <w:sz w:val="20"/>
        </w:rPr>
        <w:t>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Refer to </w:t>
      </w:r>
      <w:r>
        <w:rPr>
          <w:rFonts w:ascii="Arial;sans-serif" w:hAnsi="Arial;sans-serif"/>
          <w:b w:val="false"/>
          <w:i/>
          <w:color w:val="000000"/>
          <w:sz w:val="20"/>
        </w:rPr>
        <w:t>Note 17 — Commitments and Contingencies</w:t>
      </w:r>
      <w:r>
        <w:rPr>
          <w:color w:val="000000"/>
        </w:rPr>
        <w:t xml:space="preserve"> </w:t>
      </w:r>
      <w:r>
        <w:rPr>
          <w:rFonts w:ascii="Arial;sans-serif" w:hAnsi="Arial;sans-serif"/>
          <w:b w:val="false"/>
          <w:color w:val="000000"/>
          <w:sz w:val="20"/>
        </w:rPr>
        <w:t>to the Consolidated Financial Statements included herein for information regarding our legal proceedings, which information is incorporated into this Item 1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20"/>
        <w:ind w:left="0" w:right="0" w:firstLine="360"/>
        <w:jc w:val="both"/>
        <w:rPr>
          <w:rFonts w:ascii="Arial;sans-serif" w:hAnsi="Arial;sans-serif"/>
          <w:b/>
          <w:color w:val="000000"/>
          <w:sz w:val="20"/>
        </w:rPr>
      </w:pPr>
      <w:r>
        <w:rPr>
          <w:rFonts w:ascii="Arial;sans-serif" w:hAnsi="Arial;sans-serif"/>
          <w:b/>
          <w:color w:val="000000"/>
          <w:sz w:val="20"/>
        </w:rPr>
        <w:t>RISKS RELATED TO THE GREEN DOT MERGER AND THE PAYMENTS SALE</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 xml:space="preserve">Failure to complete the transactions contemplated by each of the Merger Agreement and the Separation Agreement could negatively affect our stock price and our future business and financial results.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Merger Agreement and the Separation Agreement each provide for a number of conditions that must be satisfied (or waived) in order to complete the transactions contemplated thereby, including the Green Dot Merger and the Payments Sale, respectively. These conditions to the closing of such transactions may not be fulfilled in a timely manner or at all, and accordingly, such transactions may not be completed.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If such transactions are not completed for any reason, there may be various adverse consequences, and we may experience negative reactions from the financial markets and from our customers and employees. For example, our business may be adversely impacted by the failure to pursue other beneficial opportunities due to the focus of management on the Green Dot Merger, the Payments Sale and other transactions contemplated by the Merger Agreement and the Separation Agreement, without realizing any of the anticipated benefits of completing the Green Dot Merger, the Payments Sale and such other transactions. Additionally, if either the Merger Agreement or the Separation Agreement is terminated, the market price of our common stock could decline, including to the extent that current market prices reflect a market presumption that the transactions contemplated by the Merger Agreement or the Separation Agreement will be completed. We could also be subject to litigation or proceedings related to any failure to complete such transactions, including litigation or proceedings commenced against us to perform our respective obligations under the Merger Agreement or the Separation Agreement. If the Merger Agreement is terminated under certain circumstances, we may be required to pay a termination fee of $27 million to CommerceOne.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Additionally, we have incurred and will incur substantial expenses in connection with the completion of the Green Dot Merger, the Payments Sale and other transactions contemplated by the Merger Agreement and the Separation Agreement, as well as the costs and expenses of preparing, filing, printing and mailing the proxy statement/prospectus, and other fees and expenses in connection with the Green Dot Merger, the Payments Sale and such other transactions. If such transactions are not completed, we would have to pay these expenses without realizing the expected benefits of the Green Dot Merger, the Payments Sale and such other transactions.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We will be subject to business uncertainties and contractual restrictions in the Merger Agreement and the Separation Agreement while the transactions contemplated thereby are pending.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Uncertainty about the effect of the Green Dot Merger, the Payments Sale and the other transactions contemplated by the Merger Agreement and the Separation Agreement on our employees and customers may have an adverse effect on us. These uncertainties may impair our ability to attract, retain and motivate key personnel until such transactions are completed, and could cause customers and others that deal with us to seek to change existing business relationships with us. Subject to certain exceptions, we have agreed to operate our business in the ordinary course in all material respects and to refrain from taking certain actions, including actions that may adversely affect our ability to consummate the transactions contemplated by either the Merger Agreement or the Separation Agreement on a timely basis, without the consent of CommerceOne and Payments Buyer, as applicable, until the transactions contemplated by the Merger Agreement and the Separation Agreement, including the Green Dot Merger and the Payments Sale, are completed. These restrictions may prevent us from pursuing attractive business opportunities that may arise prior to the completion of such transactions.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Stockholder litigation related to the Green Dot Merger, the Payments Sale or the other transactions contemplated by the Merger Agreement and the Separation Agreement could prevent or delay the completion of such transactions, result in the payment of damages or otherwise negatively impact our business and operations.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Stockholders have and may continue to file lawsuits challenging the Green Dot Merger, the Payments Sale or the other transactions contemplated by the Merger Agreement and the Separation Agreement, which may name us, our officers or members of our Board of Directors as defendants. Green Dot has received demand letters from purported stockholders of Green Dot, and complaints have been filed in the Supreme Court of the State of New York by purported stockholders against Green Dot, alleging deficiencies and/or omissions of certain allegedly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information in the registration statement on Form S-4 filed by New CommerceOne with the SEC, as amended, of which the proxy statement/prospectus forms a part. In response to such stockholder demand letters and complaints, we filed a Current Report on Form 8-K on June 16, 2026, containing supplemental disclosures regarding, among other things, certain financial projections and the background of the transactions. New CommerceOne, CommerceOne and Green Dot believe that the allegations in these letters and complaints are without merit. If additional similar demand letters are received or complaints are filed, absent new or different allegations that are material, neither New CommerceOne, CommerceOne nor Green Dot will necessarily announce them. We cannot assure you as to the outcome of any pending or future lawsuits, including the amount of costs associated with defending such claims or any other liabilities that may be incurred in connection with the litigation of such claims. If any plaintiffs are successful in obtaining an injunction prohibiting the parties from completing the Green Dot Merger, the Payments Sale or the other transactions contemplated by the Merger Agreement and the Separation Agreement on the agreed-upon terms, such an injunction may delay the completion of such transactions in the expected time-frame or may prevent such transactions from being completed altogether. Whether or not any plaintiff’s claim is successful, this type of litigation may result in significant costs and divert management’s attention and resources, which could adversely affect the operation of our business.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We have incurred and are expected to incur substantial costs related to the Green Dot Merger, the Payments Sale and the other transactions contemplated by the Merger Agreement and the Separation Agreement, and these costs may be greater than anticipated due to unexpected costs.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incurred and expect to incur a number of significant non-recurring costs associated with the Green Dot Merger, the Payments Sale and the other transactions contemplated by the Merger Agreement and the Separation Agreement, including legal, financial advisory, accounting, consulting and other advisory fees, severance/employee benefit-related costs, public company filing fees and other regulatory fees, financial printing and other printing costs and other related costs. If such transactions are not completed, we would have to pay such expenses without realizing the expected benefits of such transactions.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The merger consideration to be received by our stockholders is fixed (subject to limited exceptions) and will not be adjusted for changes affecting us or CommerceOne.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At the First Effective Time, each issued and outstanding share of our common stock, subject to limited exceptions, will be converted into the right to receive (i) 0.2215 shares of the common stock of New CommerceOne and (ii) an amount in cash equal to $8.11, less any withholding and without interest. Subject to limited exceptions, the exchange ratio is fixed and will not be adjusted for changes affecting us or CommerceOne, including for changes in the market price or value of our common stock or CommerceOne common stock. There has been, and will be, a time lapse between each of the date of the proxy statement/prospectus for the stockholders’ meeting to adopt the Merger Agreement and approve the transactions contemplated by the Separation Agreement, the date on which our stockholders voted to adopt the Merger Agreement and approve the transactions contemplated by the Separation Agreement, and the date on which our stockholders entitled to receive shares of New CommerceOne common stock actually receive such shares. The value of CommerceOne common stock and, following the First Effective Time, the value of New CommerceOne common stock may fluctuate as a result of a variety of factors, including general market and economic conditions, changes in our and CommerceOne’s businesses, operations and prospects, and regulatory considerations. Many of these factors are outside of our and CommerceOne’s control. The actual value of the shares of New CommerceOne common stock received by our stockholders will depend on the value of shares of New CommerceOne common stock at the time the Mergers are completed. This market value may be less or more than the value used to determine the exchange ratio stated in the Merger Agreement and the proxy statement/prospectus.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 xml:space="preserve">Regulatory approvals may not be received, may take longer than expected or may impose conditions that are not presently anticipated or that could have an adverse effect on the pro forma bank business following the Mergers and the other transactions contemplated by the Merger Agreement and the Separation Agreement.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Before the Mergers and the Payments Sale may be completed, various approvals, consents and non-objections that have not yet been obtained must be obtained, including from the Federal Reserve, the Utah DFI and the Alabama State Banking Department (the "ASBD") and antitrust and other authorities in the United States. In determining whether to grant these approvals, such regulatory authorities consider a variety of factors, including the regulatory standing of each party to the proposed transaction. These approvals could be delayed or not obtained at all, including due to an adverse development in any party’s regulatory standing or in any other factors considered by regulators when granting such approvals; governmental, political or community group inquiries, investigations or opposition; or changes in legislation or the political environment generally. Some recent transactions comparable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Mergers and the Payments Sale have encountered lengthy delays, and the Mergers and the Payments Sale may be subject to similar delays in obtaining its required approvals.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approvals that are granted may impose terms and conditions, limitations, obligations or costs, or place restrictions on the conduct of the combined company’s business or require changes to the terms of the transactions contemplated by the Merger Agreement and the Separation Agreement. There can be no assurance that regulators will not impose any such conditions, limitations, obligations or restrictions and that such conditions, limitations, obligations or restrictions will not have the effect of delaying the completion of any of the transactions contemplated by either the Merger Agreement or the Separation Agreement, imposing additional material costs on or materially limiting the revenues of the pro forma bank business following the Mergers and the other transactions contemplated by the Merger Agreement and the Separation Agreement or otherwise reducing the anticipated benefits of such transactions if they were consummated successfully within the expected time frame. In addition, there can be no assurance that any such conditions, terms, obligations or restrictions will not result in the delay or abandonment of such transactions. The completion of the Mergers and the other transactions contemplated by the Merger Agreement and the Separation Agreement is conditioned on the absence of certain orders, injunctions or decrees by any court or governmental entity of competent jurisdiction that would prohibit or make illegal the completion of any of such transactions.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addition, despite the parties’ commitments to using their reasonable best efforts to comply with conditions imposed by regulators, under the terms of the Merger Agreement and as described further therein, neither we nor CommerceOne will be required to take actions or agree to conditions that would reasonably be expected to have a material burdensome condition on the pro forma bank business.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Either the Merger Agreement or the Separation Agreement may be terminated in accordance with its respective terms, such that the transactions contemplated thereby, including the Green Dot Merger and the Payments Sale, may not be completed.</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Each of the Merger Agreement and Separation Agreement provide for a number of conditions that must be satisfied (or waived) in order to complete the Green Dot Merger, the Payments Sale and the other transactions contemplated by the Merger Agreement or the Separation Agreement, as applicable.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completion of the transactions contemplated by the Merger Agreement is subject to the satisfaction or waiver of certain closing conditions, including (i) the approval of the Merger Agreement by the requisite vote of our stockholders and CommerceOne’s stockholders, (ii) the authorization for listing on the NYSE of the shares of New CommerceOne common stock to be issued pursuant to the Merger Agreement, (iii) the receipt of the requisite regulatory approvals, including from the Federal Reserve, the Utah DFI and the ASBD, and no such regulatory approval having resulted in a material burdensome condition, (iv) the effectiveness of the registration statement on Form S-4 filed with the SEC by New CommerceOne in connection with the transactions contemplated by the Merger Agreement, (v) the absence of any order, injunction, decree or other legal restraint preventing the completion of the transactions contemplated by the Merger Agreement or any law making the completion thereof illegal and (vi) the satisfaction or waiver of the closing conditions set forth in the Separation Agreement with certain exceptions described in the Merger Agreement. Each party’s obligation to complete the transactions contemplated by the Merger Agreement is also subject to certain additional customary conditions, including (a) subject to certain materiality thresholds, the accuracy of the representations and warranties of the other party, (b) the performance in all material respects by the other party of its obligations under the Merger Agreement and (c) in the case of CommerceOne, the funding by Payments Buyer of the purchase price in the Payments Sale in accordance with the terms of the Separation Agreement. The registration statement on Form S-4 filed with the SEC by New CommerceOne in connection with the transactions contemplated by the Merger Agreement, as amended, was declared effective by the SEC on May 8, 2026, and the Merger Agreement was approved by both our stockholders and CommerceOne stockholders on June 23, 2026.</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the completion of the transactions contemplated by the Separation Agreement is subject to the satisfaction or waiver of certain closing conditions, including (i) the approval of the Separation Agreement by our stockholders, (ii) the waiting period applicable to the consummation of the closing under the Hart-Scott-Rodino Act (the “HSR Act”) having expired or been terminated, (iii) the absence of any order, injunction, decree or other legal restraint preventing the completion of the transactions contemplated by the Separation Agreement or any law making the completion thereof illegal and (iv) the satisfaction or waiver of the closing conditions set forth in the Merger Agreement with certain exceptions described in the Merger Agreement. Each party’s obligation to complete the transactions contemplated by the Separation Agreement is also subject to certain additional customary conditions, including (a) subject to certain materiality thresholds, the accuracy of the representations and warranties of the other party, (b) the performance in all material respects by the other party of its obligations under the Separation Agreement and (c) in the case of Payments Buyer, the absence of the occurrence of a material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effect on the Payments Business. On December 31, 2025, the parties filed their respective Premerger Notification and Report Forms under the HSR Act in connection with the transactions contemplated by the Separation Agreement. The parties requested early termination of the waiting period under the HSR Act, and such request was granted, effective January 21, 2026. Our stockholders also approved the transactions contemplated by the Separation Agreement on June 23, 2026.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remaining conditions to the closing of the transactions contemplated by each of the Merger Agreement and the Separation Agreement may not be fulfilled in a timely manner or at all, and, accordingly, such transactions may not be completed. In addition, CommerceOne and we can mutually decide to terminate the Merger Agreement, and Payments Buyer and we can mutually decide to terminate the Separation Agreement, at any time, before or after receipt of the requisite stockholder approvals.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We and New CommerceOne may be unable to retain CommerceOne and Green Dot Bank personnel successfully.</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success of the Mergers and the Payments Sale will depend in part on retaining the talent and dedication of key employees currently employed by Green Dot Bank and CommerceOne and the employees who will be transferred to Payments Buyer in connection with the Payments Sale. It is possible that these employees may decide not to remain with us or CommerceOne, as applicable, while the Mergers are pending or with New CommerceOne or Payments Buyer after the completion of the Mergers. If we and CommerceOne are unable to retain key employees, including management, who are critical to the future operations of the companies, we and CommerceOne could face disruptions in their operations, loss of existing customers, loss of key information, expertise or know-how and unanticipated additional recruitment costs. In addition, following the completion of the Mergers, if key employees terminate their employment, New CommerceOne’s or Payments Buyer’s business activities may be adversely affected, which may cause New CommerceOne’s or Payments Buyer’s business to suffer, and there is no assurance that New CommerceOne or Payments Buyer will be able to locate or retain suitable replacements for any such key employees who leave.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identified certain additional risk factors in connection with the transactions contemplated by each of the Merger Agreement, including the Mergers, and the Separation Agreement, including the Payments Sale. These risks and the other risks associated with such transactions are more fully discussed in the proxy statement/prospectus that is included in the registration statement on Form S-4 filed by New CommerceOne with the SEC, as amended, and is available through the SEC's website at www.sec.gov. The proxy statement/prospectus contains important information regarding such transactions, and we urge all of our stockholders to read the proxy statement/prospectus carefully and in its entirety.</w:t>
      </w:r>
    </w:p>
    <w:p>
      <w:pPr>
        <w:pStyle w:val="TextBody"/>
        <w:bidi w:val="0"/>
        <w:spacing w:lineRule="auto" w:line="288" w:before="120" w:after="120"/>
        <w:ind w:left="0" w:right="0" w:firstLine="360"/>
        <w:jc w:val="both"/>
        <w:rPr>
          <w:rFonts w:ascii="Arial;sans-serif" w:hAnsi="Arial;sans-serif"/>
          <w:b/>
          <w:color w:val="000000"/>
          <w:sz w:val="20"/>
        </w:rPr>
      </w:pPr>
      <w:r>
        <w:rPr>
          <w:rFonts w:ascii="Arial;sans-serif" w:hAnsi="Arial;sans-serif"/>
          <w:b/>
          <w:color w:val="000000"/>
          <w:sz w:val="20"/>
        </w:rPr>
        <w:t>RISKS RELATED TO OUR BUSINESS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The loss of operating revenues from our BaaS partners and Walmart or any of our largest retail distributors as well as third-party processors or other major consumers would negatively impact our business.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 significant portion of our operating revenues are derived from our BaaS partners and the products and services sold at our largest retail distributors. Approximately 70% and 64% of our total operating revenues for the three and six months ended June 30, 2026, respectively, was generated from a single BaaS partner. Additionally, as a percentage of total operating revenues, operating revenues derived from products and services sold at the store locations of Walmart was approximately 6% for each of the three and six months ended June 30, 2026. We expect that both our largest BaaS partner and Walmart will continue to have a significant impact on our operating revenues in future periods. It would be difficult to replace these operating revenues. Accordingly, any significant reduction in transaction volume or customers’ spending levels through our largest BaaS partner or Walmart, for any reason, including macroeconomic conditions or non-renewal of existing contracts, would negatively impact our business and results of operations. In addition, any publicity associated with the loss of any of our large retail distributors, significant BaaS partners or third-party processors could harm our reputation, making it more difficult to attract and retain consumers, BaaS partners, third-party processors and other retail distributors, and could lessen our negotiating power with our remaining and prospective retail distributors, BaaS partners and third-party processors.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term of our Walmart MoneyCard agreement (which governs the MoneyCard program) expires on January 31, 2033, unless renewed under its automatic renewal provision, which provides for a one-year extension. Our contracts with Walmart and our other largest retail distributors can in limited circumstances, such as our material breach or insolvency or, in the case of Walmart, our failure to meet agreed-upon service levels, certain changes in control, and our inability or unwillingness to agree to requested pricing changes, be terminated by these retail distributors on relatively short notice. There can be no assurance that we will be able to continue our relationships with our largest retail distributors, BaaS partners or third-party processors on the same or more favorable terms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future periods or that our relationships will continue beyond the terms of our existing contracts with them. Our operating revenues and results of operations could be negatively impacted if, among other things, any of our largest retail distributors, BaaS partners or third-party processors renegotiates, terminates or fails to renew, or to renew on similar or favorable terms, its agreement with us or otherwise chooses to modify the level of support it provides for our products.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base of tax preparation partners is concentrated, and the performance of our Money Movement Services segment depends in part on our ability to retain existing partners.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one or more of our major tax preparation partners were to substantially reduce or stop offering our services to their customers, our tax refund processing services business, a component of our Money Movement Services segment, would be negatively impacted. Substantially all the revenues we generate from our tax refund processing services business have come from sales through a relatively small number of tax preparation firms. We do not have long-term contractual commitments from most of our current tax preparation partners and our tax preparation partners for any reason may elect to not renew their contracts with us with little or no advance notice. As a result, we cannot be certain that any of our current tax preparation partners will continue to partner with us past the terms in their current agreements. A termination of our relationships with certain tax preparation partners that provide commercial tax preparation software would result in lost revenue and the loss of the ability to secure future relationships with new or existing tax preparation firms that use such tax software.</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future success depends upon the active and effective promotion of our products and services by our BaaS partners, retail distributors and tax preparation partners.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 significant portion of our operating revenues are derived from program management service fees that we earn from our BaaS partners and products and services sold at the stores of our retail distributors. In addition, the revenues we generate from our tax refund processing services are largely derived from products and services sold through retail tax preparation businesses and income tax software providers. Revenues from our BaaS partners, retail distributors and tax preparation partners depend on a number of factors outside our control and may vary from period to period. Our program management service fees depend upon the success of our BaaS partners’ efforts to promote their own products and services which incorporate our products and services. Additionally, because we compete with many other providers of products and services for placement and promotion of products in the stores of our retail distributors or in conjunction with the delivery of tax preparation services by our tax preparation providers, our success depends on the willingness of our retail distributors and tax preparation partners to promote our products and services successfully. In general, our contracts with these third parties allow them to exercise significant discretion over the placement and promotion of our or their products and services, and for a variety of reasons they could give higher priority to other products or services they are offering or the products and services of other companies. Accordingly, losing the commitment of our BaaS partners, retail distributors and tax preparation partners might limit or reduce program management service fees and the sales of our products and services. Our operating revenues and operating expenses may also be negatively affected by the operational decisions of our BaaS partners, retail distributors and tax preparation partners. For example, if a retail distributor reduces shelf space for our products or implements changes in its systems that disrupt the integration between its systems and ours, our product sales could be reduced or decline, and we may incur additional merchandising costs to ensure our products are appropriately stocked. Similarly, for a variety of reasons, many of our tax preparation partners that provide commercial income tax preparation software offer their customers several alternatives for tax refund processing services, including those of our competitors. Even if our BaaS partners, retail distributors and tax preparation partners actively and effectively promote our or their products and services, there can be no assurance that their efforts will maintain or result in growth of our operating revenues.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Future revenue growth depends on our ability to retain and attract new BaaS partners and long-term users of our products.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ability to increase account usage and accountholder retention and to attract new BaaS partners and long-term users of our products can have a significant impact on our operating revenues. We may be unable to generate increases in account usage or accountholder retention, or attract new BaaS partners and long-term users of our products due to a number of reasons, including if we are unable to maintain our existing distribution channels, accurately predict consumer preferences or industry changes and modify our products and services on a timely basis in response thereto, produce new features and services that appeal to existing and prospective customers, and influence accountholder behavior through accountholder retention and usage incentives. Our results of operations could vary materially from period to period based on the degree to which we are successful in increasing usage and retention and attracting new BaaS partners and long-term users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Seasonal fluctuations in the use of our products and services impact our results of operations and cash flows.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results of operations and cash flows vary from quarter to quarter, and periodically decline, due to the seasonal nature of the use of our products and services. For example, our results of operations for the first half of each year have been favorably affected by large numbers of taxpayers electing to receive their tax refunds via direct deposit on our accounts, which caused our operating revenues to be typically higher in the first half of those years than they were in the corresponding second half of those years. Our tax refund processing services business is also highly seasonal as it generates the substantial majority of its revenue in the first quarter, and substantially all of its revenue in the first half of each calendar year. To the extent that seasonal fluctuations become more pronounced, or are not offset by other factors, our results of operations and cash flows from operating activities could fluctuate materially from period to period.</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The industries in which we compete are highly competitive.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industries in which we compete are highly competitive and subject to rapid and significant changes. 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particularly vendors which provide program management and other services though a platform similar to our banking platform. These and other competitors in the banking and electronic payments industries are introducing innovative products and services that directly compete or may compete with ours. We expect that this competition will continue as banking and electronic payments industries continue to evolve, particularly if non-traditional payments processors and other parties gain greater market share in these industries. If we are unable to differentiate our products and platform from and/or successfully compete with those of our competitors, our revenues, results of operations, prospects for future growth and overall business could be negatively impacted.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Many existing and potential competitors are entities substantially larger in size, more highly diversified in revenue and substantially more established with significantly more broadly known brand awareness than ours. As such, many of our competitors can leverage their size, robust networks, financial wherewithal, brand awareness, pricing power and technological assets to compete with us. Additionally, some of our current and potential competitors are subject to fewer regulations and restrictions than we are, and thus may be able to respond more quickly in the face of regulatory and technological changes.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are also experiencing competition as a result of competitors, such as Chime Financial, Inc., offering free or low-cost alternatives to our products and services. Digital-centric financial services platforms have continued to gain market share through the marketing of their largely free bank account offerings. To the extent these competitors continue to take market share at our expense, we expect that the purchase and use of our products and services would decline. In order to compete across the markets served by our Consumer Services and Money Movement Services segments, we may have to increase the incentives that we offer to our retail distributors and our tax preparation partners, or directly to consumers, and decrease the prices of our products and services, any of which would likely negatively impact our results of operations.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may not keep pace with the rapid technological developments in the industries in which we compete and the larger electronic payments industry.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electronic payments industry is subject to rapid and significant technological changes, and our ability to meet our customers' and partners' needs and expectations is key to our business success and financial results over the long term. We cannot predict the effect of technological changes on our business. We rely in part on third parties for the development of, and access to, new technologies. We expect that new services and technologies applicable to our industry will continue to emerge, and these new services and technologies may be superior to, or render obsolete, the technologies we currently utilize in our products and services. Some of our competitors are substantially larger than we are, which may allow those competitors to invest more money into their technology infrastructure, use of artificial intelligence, and digital innovation than we do. In addition, other competitors may experience lower cost structures and different regulatory requirements and scrutiny than we do, which may allow them to innovate more rapidly than we can.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Additionally, we may make future investments in, or enter into strategic alliances to develop, new technologies and services or to implement infrastructure change to further our strategic objectives, strengthen our existing businesses and remain competitive. However, our ability to develop or transition to new services and technologies may be inhibited by a lack of industry-wide standards, by difficulties encountered in our development of new services and technologies, by resistance from our retail distributors, BaaS partners, third-party processors or consumers to these changes, by the intellectual property rights of third parties or our reliance on certain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service providers. Moreover, our previously-announced plan to cease operations in China, where a significant portion of our software development was conducted, could potentially delay our ability to launch new products or services or impact our ability to deliver current products and services if we are unsuccessful in timely and cost-effectively transitioning those operations. A failure to maintain or to enhance our competitive position with respect to digital products and services, whether because we fail to anticipate customer or partner expectations or because our technological developments fail to perform as desired or are not implemented in a timely or successful manner, could negatively affect our business and financial results.</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Fraudulent and other illegal activity involving our products and services could negatively impact our financial position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Criminals are using increasingly sophisticated methods to engage in illegal activities using deposit account products (including demand deposit accounts and prepaid cards), reload products, or customer information and may see their effectiveness enhanced by the use of Artificial Intelligence. Illegal activities involving our products and services often include malicious social engineering schemes. This transaction fraud has negatively impacted and is expected to continue to impact many financial services companies including us in relation to our products.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Illegal activities may also include fraudulent payment or refund schemes and identity theft. We rely upon third parties for transaction processing services, which subjects us and our customers to risks related to the vulnerabilities of those third parties. A single significant incident of fraud, or increases in the overall level of fraud, involving our deposit account products, and other products and services, have in the past and could in the future, result in reputational damage to us in addition to losses. Such damage could reduce the use and acceptance of our deposit account products and other products and services, cause retail distributors to cease doing business with us, or lead to greater regulation that would increase our compliance costs. Fraudulent activity could also result in the imposition of regulatory sanctions, including significant monetary fines, which could negatively impact our business, results of operations and financial condition.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To address the challenges that we face with respect to fraudulent activity, we have implemented risk control mechanisms that have made it more difficult for all customers, including legitimate customers, to obtain and use our products and services. We believe it is likely that our risk control mechanisms may continue to negatively impact our new account and card activations for the foreseeable future and that our operating revenues may be negatively impacted as a result. Further, implementing such risk control mechanisms can be costly and has and we expect will continue to negatively impact our operating margins as we continuously seek to enhance our risk controls. Disputes, threats of litigation or other types of remediation over how we address actual or suspected fraudulent activity involving our products and services could be costly to resolve and could also negatively impact new account and card activations.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are exposed to losses from customer accounts.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Fraudulent activity involving our products may lead to customer disputed transactions, for which we may be liable under banking regulations and payment network rules. Our fraud detection and risk control mechanisms may not prevent all fraudulent or illegal activity. To the extent we incur losses from disputed transactions, our business, results of operations and financial condition could be negatively impacted. Additionally, our accountholders who opt-in to optional overdraft protection programs we offer can incur charges in excess of the funds available in their accounts, and we may become liable for these overdrafts. Additionally, for accountholders who are not enrolled or do not meet the eligibility requirements of these programs, we generally decline authorization attempts for amounts that exceed the available accountholder’s balance; however, the application of card association rules, the timing of the settlement of transactions and the assessment of the account’s monthly maintenance fee, among other things, can still result in overdrawn accounts. Our overdraft exposure in these instances arises primarily from late-posting. A late-post occurs when a merchant posts a transaction within a payment network-permitted time frame, but subsequent to our release of the authorization for that transaction, as permitted by card association rules. Under card association rules, we may be liable for the transaction amount even if the accountholder has made additional purchases in the intervening period and funds are no longer available in the account at the time the transaction is posted.</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maintain reserves to cover the risk that we may not recover these amounts due from our accountholders, but our exposure may increase above these reserves for a variety of reasons, including our failure to predict the actual recovery rate accurately. To the extent we incur losses from overdrafts above our reserves or we determine that it is necessary to increase our reserves substantially, our business, results of operations and financial condition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face settlement risks from our retail distributors and banking partners, which may increase during an economic recession.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 large portion of our business is conducted through retail distributors that sell our products and services to consumers at their store locations or other banking partners that collect funds and fees from our customers on our behalf. Our retail distributors and banking partners collect funds from the consumers who purchase our products and services and then must remit these funds directly to our subsidiary bank. While the remittance of these funds by the retail distributor or banking partner takes on average two business days, we have in the past and may in the future experience lengthy delays. Such delays or refusal to pay exposes us to increased settlement risk. If a retail distributor or other banking partner becomes insolvent, files for bankruptcy, commits fraud or otherwise fails to remit proceeds to our subsidiary bank from the sales of our products and services, we are liable for any amounts owed to our customers. As of June 30, 2026, we had assets subject to settlement risk of $970.4 million. Given the possibility of recurring volatility in global financial markets, the approaches we use to assess and monitor the creditworthiness of our retail distributors or other banking partners may be inadequate, and we may be unable to detect and take steps to mitigate an increased credit risk in a timely manner. Economic recessions could result in settlement losses, whether or not directly related to our business. We are not insured against these risks. Significant settlement losses could have a negative impact on our business, results of operations and financial condition.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Worsening economic conditions, high rates of inflation, or other potential causes of economic distress could negatively impact our business and financial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Global and macro-economic factors have resulted and, from time to time, may continue to result in high inflation rates, interest rates, or unemployment rates, leading to economic challenges for consumers and our retail distributors and other partners as well as reduced transaction and spending volumes on accounts. Additionally, these effects increase the settlement risk from our retail distributors and banking partners and could cause us to experience contraction in the number of locations within our network of retail distributors due to store closures or other developments, such as Rite Aid's recent bankruptcy proceedings, with attendant negative impacts to our operating revenues and results of operations. If current market conditions deteriorate, we may decide to adjust pricing to account for an increasing cost of funds and increased credit risk, and thereby erode our margins and negatively impact our future financial performance and the price of our Class A common stock. Additionally, significant inflationary pressure increases borrowing rates, and we may not be able to fully offset such higher costs through rate increases. Our inability or failure to do so could negatively impact our business, financial condition and results of operations. Additionally, a rising interest rate environment may negatively impact our customers’ spending levels or our customers’ ability to pay outstanding amounts owed to us.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Please see “Quantitative and Qualitative Disclosures about Market Risk” for more information regarding the potential impact of the various market risks on our business.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Economic, political and other conditions may negatively impact trends in consumer spending.</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electronic payments industry, including the prepaid and debit card financial services segment within that industry, depends heavily upon the overall level of consumer spending. Economic conditions, including inflationary pressures, have resulted and may continue to result in decreased consumer spending and may also result in us experiencing a reduction in the number of our accounts that are purchased or reloaded, the number of transactions involving our cards and the use of our reload network and related services. A sustained reduction in the use of our products and related services, either as a result of a general reduction in consumer spending or as a result of a disproportionate reduction in the use of card-based payment systems, would negatively impact our business, results of operations and financial condition.</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must be able to operate and scale our technology effectively.</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ability to continue to provide our products and services to network participants, as well as to enhance our existing products and services and offer new products and services, is dependent on our information technology systems. If we are unable to manage and scale the technology associated with our business effectively, we could experience increased costs, reductions in system availability and losses of our network participants. Any failure of our systems in scalability and functionality would negatively impact our business, financial condition and results of operations.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make significant investments in products and services that may not be successful.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prospects for growth depend on our ability to innovate by offering new, and adding value to our existing, product and service offerings and on our ability to effectively commercialize such innovations. While we will continue to make investments in research, development, and marketing for new products and services, if customers do not perceive our new offerings as providing significant value, they may fail to accept our new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which would negatively impact our operating revenues. We may not achieve significant operating revenues from new product and service investments for a number of years, if at all. Moreover, new products and services may not be profitable, and even if they are profitable, operating margins for new products and services may not be as high as the margins we have experienced in the past.</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business could be negatively impacted if there is a decline in the use of prepaid cards or demand deposit accounts as a payment mechanism or there are adverse developments with respect to the financial services industry in general.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As the financial services industry evolves, consumers may find prepaid financial services or demand deposit accounts to be less attractive and demand for such services and accounts could decline. Consumers might not use prepaid financial services or demand deposit accounts for any number of reasons, including the general perception of our industry, new technologies, a decrease in our distribution partners’ willingness to sell these products as a result of a more challenging regulatory environment or other factors outside of our control. If consumers do not continue to use or increase their usage of prepaid cards or demand deposit accounts, including making changes in the way such products are funded, our operating revenues may decline. Any projected growth for the industry may not occur or may occur more slowly than estimated. If there is a shift in the mix of payment forms, such as cash, credit cards, traditional debit cards and prepaid cards, away from our products and services, it could have a negative impact on our financial position and results of operations.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OPERATIONS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business is dependent on the efficient and uninterrupted operation of computer network systems and data centers, including third party systems.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ability to provide reliable service to customers and other network participants depends on the efficient and uninterrupted operation of our computer network systems and data centers as well as those of our retail distributors, network acceptance members and third-party processors. Our business involves the movement of large sums of money, the processing of large numbers of transactions and the management of the data necessary to do both. Our success in our account programs, including our BaaS programs, as well as our services within our Money Movement Services segment, depends upon the efficient and error-free handling of the money that is collected, remitted or deposited in connection with the provision of our products and services. We rely on the ability of our employees, systems and processes and those of the banks that issue our cards, our retail distributors, tax refund preparation partners, other business partners and third-party processors to process and facilitate these transactions in an efficient, uninterrupted and error-free manner. Their failure to do so could negatively impact our operating revenues and results of operations, particularly during the tax season, when we derive substantially all of our operating revenues for our tax refund processing services and a significant portion of our other operating revenues.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systems and the systems of third-party processors are susceptible to outages and interruptions including due to fire, natural disaster, cyber-attacks, power loss, telecommunications failures, software or hardware defects, terrorist attacks, pandemics and similar events. We use both internally developed and third-party systems, including cloud computing and storage systems, for our services and certain aspects of transaction processing. Interruptions in our service may result for a number of reasons. Additionally, the data center hosting facilities that we use could be closed without adequate notice or experience unanticipated problems resulting in lengthy interruptions in our service. Moreover, as we continue to add cloud-based solutions, we could experience problems transferring customer accounts and data or interruptions in service from our cloud providers, impairing the delivery of our service.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technology platforms continue to evolve as we regularly invest in enhancing our systems. As a result, some customers have in the past and may in the future experience disruptions in service despite significant investments in planning and testing on the part of us and our technology partners. In addition, the implementation of technological changes could cause significant disruptions to our customers and our business and may cause processing errors.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Any damage to, or failure of, or delay in our processes or systems generally, or those of our vendors (including as a result of disruptions at our third-party data center hosting facilities and cloud providers), or an improper action by our employees, agents or third-party vendors, could result in interruptions in our service, causing customers, retail distributors and other partners to become dissatisfied with our products and services or obligate us to issue credits or pay fines or other penalties to them. Sustained or repeated process or system failures have in the past and could in the future reduce the attractiveness of our products and services, including our banking platform, and could result in contract terminations, thereby reducing operating revenue and negatively impact our results of operations and could result in additional regulatory actions and/or fines and penalties. Further, negative publicity arising from these types of disruptions could damage our reputation and may negatively impact use of our products and services, including our banking platform, and negatively impact our ability to attract new customers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business partners. Additionally, some of our contracts with retail distributors, including our contract with Walmart, contain service level standards pertaining to the operation of our systems, and provide the retail distributor with the right to collect damages and to potentially terminate its contract with us for system downtime exceeding stated limits. If we face system interruptions or failures, our business interruption insurance may not be adequate to cover the losses or damages that we incur. In addition, our insurance costs may also increase substantially in the future to cover the costs our insurance carriers may incur.</w:t>
      </w:r>
    </w:p>
    <w:p>
      <w:pPr>
        <w:pStyle w:val="TextBody"/>
        <w:bidi w:val="0"/>
        <w:spacing w:lineRule="auto" w:line="288" w:before="0" w:after="0"/>
        <w:ind w:left="0" w:right="0" w:firstLine="360"/>
        <w:jc w:val="both"/>
        <w:rPr>
          <w:rFonts w:ascii="Arial;sans-serif" w:hAnsi="Arial;sans-serif"/>
          <w:b/>
          <w:i/>
          <w:color w:val="000000"/>
          <w:sz w:val="20"/>
        </w:rPr>
      </w:pPr>
      <w:r>
        <w:rPr>
          <w:rFonts w:ascii="Arial;sans-serif" w:hAnsi="Arial;sans-serif"/>
          <w:b/>
          <w:i/>
          <w:color w:val="000000"/>
          <w:sz w:val="20"/>
        </w:rPr>
        <w:t>A cyber-attack, incident or security breach could expose us to liability and protracted and costly litigation, regulatory penalties, and could negatively impact our reputation and operating revenues.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and our retail distributors, tax preparation partners, network acceptance members, third-party processors and the merchants that accept our cards receive, transmit and store confidential customer and other information, including personal information, in connection with the sale and use of our products and services. Despite the encryption software and the other technologies and systems we use to provide security for storage, processing and transmission of confidential customer and other information these technologies or systems have been, and continue to be, vulnerable to cyber-attacks, incidents and data security breaches by third parties and we have experienced, and may in the future experience, attacks, incidents and breaches that circumvent our security measures. The risk of unauthorized circumvention of our security measures has been heightened by advances in artificial intelligence, computer capabilities and the increasing sophistication of hackers, including state sponsored hackers. Our retail distributors, tax preparation partners, network acceptance members, other business partners, third-party processors and the merchants that accept our cards also may experience similar cyber-attacks, incidents or security breaches or discover securities vulnerabilities involving the receipt, transmission and storage of our confidential customer and other information. Improper access to our or these third parties’ systems or databases could result in the theft, publication, deletion or modification of confidential customer and other information.</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 data security breach of the systems on which sensitive accountholder or other customer or end-customer data and account information are stored have led, and could in the future lead, to fraudulent activity involving our products and services, reputational damage and claims, and could lead to regulatory actions, including penalties, against us. Further, a cyber-attack or other incident could go undetected and persist in our systems for extended periods. Regardless of whether or not we are sued or face regulatory actions, a breach will require us to carefully assess the materiality of a cyber-attack or other incident. Depending on the nature and magnitude of the accessed data, this effort may require substantial resources. If we are sued in connection with any data security breach, we could be involved in protracted and costly litigation and might be forced to pay damages and/or change our business practices, any of which could have a negative impact on our operating revenues and profitability. We would also likely have to pay (or indemnify the banks that issue our products and services which includes cards) fines, penalties and/or other assessments imposed by the networks such as Visa or Mastercard as a result of any data security breach. Further, a significant data security breach could lead to additional regulation, which could impose new and costly compliance obligations. In addition, a data security breach or perceived security vulnerability at any of the third-party banks that issue our cards or at any of our retail distributors, tax preparation partners, network acceptance members, other business partners, third-party processors or the merchants that accept our cards could result in significant reputational harm to us and cause the use and acceptance of our cards or other products and services to decline, either of which could have a significant adverse impact on our operating revenues and future growth prospects. Moreover, it may require substantial financial resources to address and remediate any such breach, including additional costs for hiring an external party to conduct a forensic investigation, replacement cards, manufacturing, distribution, re-stocking fees, fraud monitoring, and other added security measures, among others, which could have a significant adverse impact on our operating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Additionally, we cannot be certain that our insurance coverage will be adequate for data security liabilities actually incurred, will cover any indemnification claims against us relating to any incident, that insurance will continue to be available to us on reasonable terms, or that any insurer will not deny coverage as to any future claim. The assertion of large claims against us that exceed available insurance coverage, or the occurrence of changes in our insurance policies, including premium increases or large deductible or co-insurance requirements, could have a negative impact on our business, including our financial condition, operating results, and reputation.</w:t>
      </w:r>
    </w:p>
    <w:p>
      <w:pPr>
        <w:pStyle w:val="TextBody"/>
        <w:bidi w:val="0"/>
        <w:spacing w:lineRule="auto" w:line="288" w:before="0" w:after="0"/>
        <w:ind w:left="0" w:right="0" w:firstLine="360"/>
        <w:jc w:val="both"/>
        <w:rPr>
          <w:rFonts w:ascii="Arial;sans-serif" w:hAnsi="Arial;sans-serif"/>
          <w:b/>
          <w:i/>
          <w:color w:val="000000"/>
          <w:sz w:val="20"/>
        </w:rPr>
      </w:pPr>
      <w:r>
        <w:rPr>
          <w:rFonts w:ascii="Arial;sans-serif" w:hAnsi="Arial;sans-serif"/>
          <w:b/>
          <w:i/>
          <w:color w:val="000000"/>
          <w:sz w:val="20"/>
        </w:rPr>
        <w:t>Failure to maintain satisfactory compliance with certain privacy and data protection laws and regulations may subject us to substantial negative financial consequences, civil or criminal penalties and business reputation risk.</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Complex existing and emerging local, state, and federal laws and regulations apply to the collection, use, retention, protection, disclosure, transfer, and other processing of personal information. These privacy and data protection laws and regulations are quickly evolving, with new or modified laws and regulations proposed and implemented frequently and existing laws and regulations subject to new or different interpretations. Complying with these laws and regulations can be costly and can impede the development and offering of new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services. In addition, our failure to comply with applicable laws and regulations or other obligations to which we may be subject relating to personal information, or to protect personal information from unauthorized access, use, or other processing, could result in enforcement actions and regulatory investigations against us, claims for damages by customers and other affected individuals, fines, damage to our reputation, and loss of goodwill, any of which could have a negative impact on our operations, financial performance, and business.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Replacing third-party vendors would be difficult and disruptive to our business.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Some services relating to our business, including fraud management and other customer verification services, cash processing, card production, and customer service, are outsourced to third-party vendors. We also depend on third-party banks to assist with our tax refund processing services. It would be difficult to replace some of our third-party vendors in a timely manner if they were unwilling or unable to provide us with these services during the term of their agreements with us or if they elected not to renew their contracts with us, and our business and operations would be negatively impacted. Additionally, replacing third-party vendors with in-house solutions may lead to unanticipated operating costs and potential exposure to increased regulatory scrutiny. In particular, due to the seasonality in our business, any material service interruptions, service delays or changes in service contracts with key vendors during the tax season would result in losses that have an even greater negative impact on that business than would be the case with our overall business.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 we have in the past and may in the future experience operational issues with the third-party call centers that we rely on to provide customer support. Any prolonged closure or disruption in the services provided by such call centers would have a negative impact on our business.</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Some of our operations are located outside of the United States, which subjects us to additional risks.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A significant portion of our software development operations were based in Shanghai, China and have been or are being relocated to locations in and outside of the United States. A prolonged disruption at our facilities or the facilities of our outsourcing service providers for any reason including due to natural or man-made disasters, outbreaks of disease, climate change, geopolitical matters or other events outside of our control, such as equipment malfunction or large-scale outages or interruptions of service from utilities or telecommunications providers, could potentially delay our ability to launch new products or services or impact our ability to deliver current products and services, which could negatively impact our business. Additionally, we face numerous other challenges and risks, including, but not limited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increased complexity and costs of managing international operations, including regulatory compliance;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regional economic and geopolitical instability and military conflicts;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limited protection of our intellectual property and other assets;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compliance with and unanticipated changes in local laws and regulations, including tax laws and regulations;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foreign currency exchange fluctuations relating to our international operating activities;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local business and cultural factors that differ from our normal standards and practices;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differing employment practices and labor relations.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AND LEGAL RISKS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As a bank holding company, we are subject to extensive and potentially changing regulations and regulatory expectations, which may limit our ability to pursue business opportunities and increase compliance challenges.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a bank holding company (a "BHC"), we, along with Green Dot Bank, are subject to comprehensive supervision and examination by the Federal Reserve and the State of Utah DFI and must comply with applicable laws and regulations and other commitments we have agreed to, including financial commitments with respect to minimum capital and leverage requirements. As has been the case in the past, when the regulators believe that we or Green Dot Bank have not complied with any of these requirements, we may in the future become subject to, in addition to our then-current obligations (which includes the formal enforcement action noted below), additional formal or informal enforcement actions, proceedings, or investigations, which could result in regulatory orders, penalties, restitution, restrictions on our business operations or requirements to take corrective actions, which may, individually or in the aggregate, negatively impact our results of operations and restrict our ability to grow. For example, in July 2024, we and our subsidiary bank entered into a consent order, including a $44 million civil money penalty, with the Federal Reserve relating principally to various aspects of compliance risk management,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consumer compliance and compliance with AML regulations (the "Consent Order"). In response to enhanced regulatory scrutiny, we have increased our investment in our regulatory and compliance infrastructure and will continue with further increases. We expect heightened oversight of our compliance and other risk management capabilities will continue for the foreseeable future. If we fail to comply with the applicable capital and leverage requirements, or if Green Dot Bank fails to comply with its applicable capital and leverage requirements, the Federal Reserve may limit our or Green Dot Bank's ability to pay dividends or fund stock repurchases, or require us to raise additional capital. In addition, if at any time we or Green Dot Bank fail to be “well-capitalized” or “well managed,” we may not commence, or acquire any shares of a company engaged in, any activities only permissible for an FHC, without prior Federal Reserve approval.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restriction on our ability to commence, or acquire any shares of a company engaged in, any activities only permissible for an FHC, without prior Federal Reserve approval would also generally apply if Green Dot Bank received a CRA rating of less than “Satisfactory.” Currently, under the Bank Holding Company Act of 1956, as amended (the "BHC Act"), we may not be able to engage in new activities or acquire shares or control of other businesses. Such restrictions might limit our ability to pursue future business opportunities which we might otherwise consider, but which might fall outside the scope of permissible activities. U.S. bank regulatory agencies from time to time take supervisory actions under certain circumstances that restrict or limit a financial institution's activities, including in connection with examinations, which take place on a continual basis. We are subject to significant legal restrictions on our ability to publicly disclose the existence of these actions or any of the related details. In addition, as part of the regular examination process, our and Green Dot Bank's regulators may direct us or our subsidiaries to operate under various restrictions as a prudential matter. Such restrictions may include not being able to engage in certain categories of new activities or acquire shares or control of other companies.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 xml:space="preserve">The failure by Green Dot Bank to properly classify its deposits could have a negative impact on our financial condition.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Federal Deposit Insurance Corporation issued a final rule establishing a framework for analyzing certain provisions of the “deposit broker” definition, including “placing deposits,” “facilitating the placement of deposits” and “primary purpose,” for purposes of the classification of deposits as brokered deposits and exemptions from such a classification. As a result of the final rule, Green Dot Bank reclassified most of its deposits as non-brokered. If our reclassification is deemed non-compliant, we could be subject to regulatory fines and penalties, increased regulatory oversight, restrictions on our activities, and increased litigation risk.</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Failure by us and our business partners to comply with applicable laws and regulations could have a negative impact on our business, financial position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banking, financial technology, transaction processing and tax refund processing services industries are highly regulated, and failure by us, the banks that issue our cards or the businesses that participate in our reload network, third party service providers or other business partners to comply with the laws and regulations to which we or they are subject could negatively impact our business. We are subject to a wide range of federal and other state laws and regulations. In particular, our products and services are subject to an increasingly strict set of legal and regulatory requirements intended to protect consumers, such as various disclosure and consent requirements, mandated or prohibited terms and conditions, prohibitions on discrimination based on certain prohibited bases, prohibitions on unfair, deceptive or abusive acts or practices, or to help detect and prevent money laundering, terrorist financing and other illicit activities. For example, we are subject to the AML reporting and recordkeeping requirements of the BSA, as amended by the PATRIOT Act. Monitoring and complying with all applicable laws, regulations and licensing requirements can be difficult and costly. Failure to comply with these requirements exposes us to the risk of being required to undertake substantial remediation efforts and to the risk of, among other things, enforcement actions, lawsuits, monetary damages, fines, penalties and reputational harm, any one of which could have a material adverse impact on our results of operations, financial condition or business prospects.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From time to time, federal and state legislators and regulatory authorities, including state attorney generals and federal executive departments, increase their focus on the banking, consumer financial services and tax preparation industries and have commenced and may in the future commence formal and informal inquiries. The adoption of new or proposed legislation or guidance has in the past and may in the future result in significant adverse changes in the regulatory landscape for financial institutions and financial services companies. Accordingly, changes in laws and regulations or the interpretation or enforcement thereof may occur that could increase our compliance and other costs of doing business, require significant systems redevelopment, or render our products or services less profitable or obsolete, any of which could have a negative impact on our results of operations. For example, we could face more stringent AML rules and regulations, as well as more stringent licensing rules and regulations, compliance with which could be expensive and time consuming. In addition, adverse rulings relating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industries in which we participate could cause our products and services to be subject to additional laws and regulations, which could make our products and services less profitable.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additional legal or regulatory requirements were imposed on our bank or the sale of our products and services, the requirements could lead to a loss of retail distributors, network participants, tax preparation partners or other business partners, which could negatively impact our operations. Moreover, if our products are negatively impacted by the interpretation or enforcement of these regulations or if we or any of our retail distributors or tax preparation partners were unwilling or unable to make such operational changes to comply with the interpretation or enforcement thereof, we would no longer be able to sell our products and services through that noncompliant retail distributor or tax preparation partner, which could negatively impact our business, financial position and operating results.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Failure by us or those businesses to comply with the laws and regulations to which we are or may become subject could result in additional fines, penalties or limitations on our ability to conduct our business, or federal or state actions, any of which could significantly harm our reputation with consumers, banks that issue our cards and regulators, and could negatively impact our business, operating results and financial condition. Many of these laws can be unclear and inconsistent across various jurisdictions and ensuring compliance with them could be difficult and costly. If new regulations or laws result in changes in the way we are regulated, these regulations could expose us to increased regulatory oversight, more burdensome regulation of our business, and increased litigation risk, each of which could increase our costs and decrease our operating revenues. Furthermore, limitations placed on the fees we charge or the disclosures that must be provided with respect to our products and services could increase our costs and decrease our operating revenues.</w:t>
      </w:r>
    </w:p>
    <w:p>
      <w:pPr>
        <w:pStyle w:val="TextBody"/>
        <w:bidi w:val="0"/>
        <w:spacing w:lineRule="auto" w:line="276" w:before="120" w:after="120"/>
        <w:ind w:left="0" w:right="0" w:firstLine="360"/>
        <w:jc w:val="both"/>
        <w:rPr>
          <w:rFonts w:ascii="Arial;sans-serif" w:hAnsi="Arial;sans-serif"/>
          <w:b/>
          <w:i/>
          <w:color w:val="000000"/>
          <w:sz w:val="20"/>
        </w:rPr>
      </w:pPr>
      <w:r>
        <w:rPr>
          <w:rFonts w:ascii="Arial;sans-serif" w:hAnsi="Arial;sans-serif"/>
          <w:b/>
          <w:i/>
          <w:color w:val="000000"/>
          <w:sz w:val="20"/>
        </w:rPr>
        <w:t>Changes in rules or standards set by the payment networks, or changes in debit network fees or products or interchange rates, could negatively impact our business, financial position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association rules that could subject us to a variety of fines or penalties that may be levied by the card associations or networks for acts or omissions by us or businesses that work with us, including card processors. The termination of the card association registrations held by us or any changes in card association or other debit network rules or standards, including interpretation and implementation of existing rules or standards, that increase the cost of doing business or limit our ability to provide our products and services could have a negative impact on our business, operating results and financial condition. In addition, from time to time, card associations may increase the fees that they charge, which could increase our operating expenses, reduce our profit margin and negatively impact our business, results of operations and financial condition.</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Furthermore, a material portion of our operating revenues is derived from interchange fees. For each of the three and six months ended June 30, 2026, interchange revenues represented 7% of our total operating revenues, and we expect interchange revenues to continue to represent a significant percentage of our total operating revenues. The amount of interchange revenues that we earn is highly dependent on the interchange rates that the payment networks set and adjust from time to time.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enactment of the Dodd-Frank Act required the Federal Reserve to implement regulations that have substantially limited interchange fees for many issuers. While the interchange rates that may be earned by us and Green Dot Bank are exempt from the limitations imposed by the Dodd-Frank Act, federal legislators and regulatory authorities have become increasingly focused on interchange fees, and continue to propose new legislation that could result in significant adverse changes to the rates we are able to charge and there can be no assurance that future regulation or changes by the payment networks will not substantially impact our interchange revenues. If interchange rates decline, whether due to actions by the payment networks or future regulation, we would likely need to change our fee structure to offset the loss of interchange revenues. However, our ability to make these changes is limited by the terms of our contracts and other commercial factors, such as price competition. To the extent we increase the pricing of our products and services, we might find it more difficult to acquire consumers and to maintain or grow card usage and customer retention, and we could suffer reputational damage and become subject to greater regulatory scrutiny. We also might have to discontinue certain products or services. As a result, our total operating revenues, operating results, prospects for future growth and overall business could be negatively impacted.</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Litigation or investigations could result in significant settlements, sanctions, fines or penalties.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subject to regulatory oversight in the normal course of our business and have been, currently are and from time to time in the future may be subject to securities class actions, commercial and other litigation or regulatory or judicial proceedings, investigations or subpoenas. The outcome of litigation and regulatory or judicial proceedings or investigations is difficult to predict. Plaintiffs or regulatory agencies or authorities in these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pPr>
      <w:r>
        <w:rPr>
          <w:rFonts w:ascii="Arial;sans-serif" w:hAnsi="Arial;sans-serif"/>
          <w:b w:val="false"/>
          <w:color w:val="000000"/>
          <w:sz w:val="20"/>
        </w:rPr>
        <w:t>have sought and may seek recovery of very large or indeterminate amounts, seek to have aspects of our business suspended or modified or seek to impose sanctions, including significant monetary fines. For example, in July 2024, we and our subsidiary bank entered into the Consent Order, including a civil money penalty of $44 million, with the Federal Reserve as further discussed in the "</w:t>
      </w:r>
      <w:r>
        <w:rPr>
          <w:rFonts w:ascii="Arial;sans-serif" w:hAnsi="Arial;sans-serif"/>
          <w:b w:val="false"/>
          <w:i/>
          <w:color w:val="000000"/>
          <w:sz w:val="20"/>
        </w:rPr>
        <w:t>As a bank holding company, we are subject to extensive and potentially changing regulations and regulatory expectations, which may limit our ability to pursue business opportunities and increase compliance challenges</w:t>
      </w:r>
      <w:r>
        <w:rPr>
          <w:rFonts w:ascii="Arial;sans-serif" w:hAnsi="Arial;sans-serif"/>
          <w:b w:val="false"/>
          <w:color w:val="000000"/>
          <w:sz w:val="20"/>
        </w:rPr>
        <w:t xml:space="preserve">" risk factor above. Additionally, the monetary and other impacts of these actions, litigations, proceedings or investigations may remain unknown for substantial periods of time. The cost to defend, settle or otherwise resolve these matters have been and may be significant. Further, an unfavorable resolution of litigation, proceedings or investigations against us could have a negative impact on our business, operating results, or financial condition. In this regard, such costs could make it more difficult to maintain the capital, leverage and other financial commitments at levels we have agreed to with the Federal Reserve and the Utah DFI. Any regulatory or judicial proceedings or investigations initiated against us by private or governmental entities may result in adverse publicity associated with these proceedings or investigations and could negatively impact our relationships with retail distributors, tax preparation partners, network acceptance members, financial institutions and other lending partners, other business partners and card processors and decrease acceptance and use of, and loyalty to, our products and related services, and could impact the price of our Class A common stock. In addition, such proceedings or investigations could increase the risk that we will be involved in litigation. For the foregoing reasons, any regulatory or judicial proceedings or investigations that are initiated against us by private or governmental entities, could negatively impact our business, results of operations and financial condition or could cause our stock price to decline. Refer to </w:t>
      </w:r>
      <w:r>
        <w:rPr>
          <w:rFonts w:ascii="Arial;sans-serif" w:hAnsi="Arial;sans-serif"/>
          <w:b w:val="false"/>
          <w:i/>
          <w:color w:val="000000"/>
          <w:sz w:val="20"/>
        </w:rPr>
        <w:t>Note 17—Commitments and Contingencies</w:t>
      </w:r>
      <w:r>
        <w:rPr>
          <w:color w:val="000000"/>
        </w:rPr>
        <w:t xml:space="preserve"> </w:t>
      </w:r>
      <w:r>
        <w:rPr>
          <w:rFonts w:ascii="Arial;sans-serif" w:hAnsi="Arial;sans-serif"/>
          <w:b w:val="false"/>
          <w:color w:val="000000"/>
          <w:sz w:val="20"/>
        </w:rPr>
        <w:t>to the Consolidated Financial Statements included herein for further information regarding certain of our legal and other proceedings.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may be unable to adequately protect our brand and our intellectual property rights related to our products and services or third parties may allege that we are infringing their intellectual property rights.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brands and marks are important to our business, and we utilize trademark registrations and other means to protect them. Our business would be negatively impacted if we were unable to protect our brand against infringement. We also rely on a combination of patent, trademark and copyright laws, trade secret protection and confidentiality and license agreements to protect the intellectual property rights related to our products and services. We currently have 18 issued patents. Although we generally seek patent protection for inventions and improvements that we anticipate will be incorporated into our products and services, there is always a chance that our patents or patent applications could be challenged, invalidated or circumvented, or that an issued patent will not adequately cover the scope of our inventions or improvements incorporated into our products or services. Additionally, our patents could be circumvented by third parties.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We may unknowingly violate the intellectual property or other proprietary rights of others and, thus, may be subject to claims by third parties. Because of the existence of a large number of patents in the mobile technology field, the secrecy of some pending patents, and the rapid rate of issuance of new patents, it is not economically practical or even possible to determine in advance whether a product or any of its elements infringes or will infringe on the patent rights of others. Regardless of the merit of these claims, we may be required to devote significant time and resources to defending against these claims or to protecting and enforcing our own rights. We might also be required to develop a non-infringing technology or enter into license agreements and there can be no assurance that licenses will be available on acceptable terms and conditions, if at all. Some of our intellectual property rights may not be protected by intellectual property laws, particularly in foreign jurisdictions. The loss of our intellectual property or the inability to secure or enforce our intellectual property rights or to defend successfully against an infringement action could negatively impact our business, results of operations, financial condition and prospects.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CAPITAL NEEDS AND INDEBTEDNESS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We might require additional capital to support our business in the future, and this capital might not be available on acceptable terms, or at all.</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If our unrestricted cash and cash equivalents balances and any cash generated from operations are not sufficient to meet our future cash requirements, we will need to access additional capital to fund our operations. We may also need to raise additional capital to take advantage of new business or acquisition opportunities. However, we may not be able to raise needed cash in a timely basis on terms acceptable to us or at all. Financings, if available, may be on terms that are dilutive or potentially dilutive to our stockholders. The holders of new securities may also receive rights, preferences or privileges that are senior to those of existing holders of our Class A common stock. In addition, if we were to raise cash through a debt financing, the terms of the financing might impose additional conditions or restrictions on our operations that could negatively impact our business. If we require new sources of financing but they are insufficient or unavailable, we would be required to modify our operating plans to take into account the limitations of available funding, which would negatively impact our ability to maintain or grow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our business. Should we require additional credit at levels we are unable to access, the cost of credit is greater than expected, or our cost-savings measures are ineffective or result in us incurring greater costs, our operating results could be negatively impacted.</w:t>
      </w:r>
    </w:p>
    <w:p>
      <w:pPr>
        <w:pStyle w:val="TextBody"/>
        <w:bidi w:val="0"/>
        <w:spacing w:lineRule="auto" w:line="240" w:before="120" w:after="120"/>
        <w:ind w:left="0" w:right="0" w:firstLine="360"/>
        <w:jc w:val="both"/>
        <w:rPr>
          <w:rFonts w:ascii="Arial;sans-serif" w:hAnsi="Arial;sans-serif"/>
          <w:b/>
          <w:i/>
          <w:color w:val="000000"/>
          <w:sz w:val="20"/>
        </w:rPr>
      </w:pPr>
      <w:r>
        <w:rPr>
          <w:rFonts w:ascii="Arial;sans-serif" w:hAnsi="Arial;sans-serif"/>
          <w:b/>
          <w:i/>
          <w:color w:val="000000"/>
          <w:sz w:val="20"/>
        </w:rPr>
        <w:t>We have increased debt service obligations as a result of the issuance of our senior unsecured notes.</w:t>
      </w:r>
    </w:p>
    <w:p>
      <w:pPr>
        <w:pStyle w:val="TextBody"/>
        <w:bidi w:val="0"/>
        <w:spacing w:lineRule="auto" w:line="276"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2024 and 2025, we issued and sold senior unsecured notes in an aggregate principal amount of $65.0 million, all of which mature in September 2029. As a result of these transactions, we have incurred additional debt service obligations in addition to normal operating expenses and planned capital expenditures. Our increased level of indebtedness may have several important effects on our future operations, including, without limitation, a portion of our cash flow must be dedicated to the payment of interest and principal on the senior unsecured notes, reducing funds available for distribution to stockholders and limiting our ability to obtain additional financing for working capital, capital expenditures, acquisitions and general corporate and other purposes. Our ability to meet our debt service obligations and to reduce our total indebtedness will be dependent upon our future performance, as well as Green Dot Bank and its ability to pay dividends to us, which will be subject to regulatory restrictions, general economic, industry and competitive conditions and to financial, business and other factors affecting us and Green Dot Bank, many of which are beyond our control. In addition, the senior unsecured notes contain certain affirmative and negative non-financial covenants applicable to us and Green Dot Bank that could limit our ability to take advantage of financing, merger, acquisition or other opportunities, to fund our business operations or to fully implement our current and future operating strategies. </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cannot assure you that we will be able to continue to generate cash flow at or above its current level and that we will be able to pay principal and interest on the senior unsecured notes as they become due. Further, we cannot assure you that our maintenance of our indebtedness or occurrence of future indebtedness will not negatively impact our operating results or financial condition.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GENERAL RISKS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operating results may fluctuate in the future, which could cause our stock price to decline.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If our quarterly and annual results of operations fall below the expectations of investors or any securities analysts who follow our Class A common stock, the trading price of our Class A common stock could decline substantially. Fluctuations in our quarterly or annual results of operations might result from a number of factors including the occurrence of one or more of the events or circumstances described in these risk factors, many of which are outside of our control, including, but not limited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and volume of purchases and use of our products and services;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and volume of tax refunds or other government payments processed by us;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and success of new product or service introductions by us or our competitors;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fluctuations in customer retention rates;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outages and interruptions in our systems, those of our partners or third-party service providers;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changes in the mix of products and services that we sell or changes in the mix of our client retail distributors;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timing of commencement of new and existing product roll outs, developments and initiatives and the lag before those new products, channels or retail distributors generate material operating revenues;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effectively sell our products through direct-to-consumer initiatives;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costs associated with significant changes in our risk policies and controls;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amount and timing of major advertising campaigns, including sponsorships;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the amount and timing of capital expenditures and operating costs;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interest rate volatility;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our ability to control costs, including third-party service provider costs and sales and marketing expenses;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volatility in the trading price of our Class A common stock;</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changes in the political or regulatory environment affecting the industries in which we operate;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economic recessions or uncertainty in financial markets, and the uncertainty regarding the impact of macroeconomic trends or conditions;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other factors beyond our control, such as terrorism, war, natural disasters and pandemics as well as the other items included in these risk factors.</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actual operating results may differ significantly from our guidance.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issue guidance in our quarterly earnings conference calls, or otherwise, regarding our future performance that represents our management’s estimates as of the date of release. Guidance is necessarily speculative in nature, and is only an estimate of what management believes is realizable as of the date of release, and it can be expected that some or all of the assumptions underlying the guidance furnished by us will prove to be incorrect or will vary significantly from actual results. Actual results will vary from our guidance and the variations may be material, especially in times of economic uncertainty.</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future success depends on our ability to attract, integrate, retain and incentivize key personnel.</w:t>
      </w:r>
    </w:p>
    <w:p>
      <w:pPr>
        <w:pStyle w:val="TextBody"/>
        <w:bidi w:val="0"/>
        <w:spacing w:lineRule="auto" w:line="26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ability to manage and grow our business will depend, to a significant extent, on our ability to attract, integrate, retain and recognize key personnel, namely our management team and experienced sales, marketing and program and technology development personnel. We may experience difficulty in managing transitions and assimilating newly-hired personnel, and if we fail to manage these transitions successfully, we could experience significant delays or difficulty in the achievement of our development and strategic objectives and our business, financial condition and results of operations could be negatively impacted. Competition for qualified management, sales, marketing and program and technology development personnel can be intense. Competitors have in the past and may in the future attempt to recruit our top management and employees. In order to attract and retain personnel in a competitive marketplace, we must provide competitive pay packages, including cash and equity-based compensation and the volatility in our stock price may from time to time negatively impact our ability to recruit or retain employees. Additionally, our U.S.-based employees, including our senior management team, work for us on an at-will basis and there is no assurance that any such employee will remain with us. </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An impairment charge of goodwill or other intangible assets could have a negative impact on our financial condition and results of operations.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Our net goodwill and intangible assets represent a significant portion of our consolidated assets. Our net goodwill and intangible assets were $363.3 million as of June 30, 2026. Under generally accepted accounting principles in the United States, or ("U.S. GAAP"), we are required to test the carrying value of goodwill at least annually or sooner if events occur that indicate impairment could exist, such as a significant change in the business climate, including a significant sustained decline in a reporting unit’s fair value, legal and regulatory factors, operating performance indicators, competition and other factors. The amount of any impairment charge could be significant and could have a negative impact on our financial condition and results of operations for the period in which the charge is taken.</w:t>
      </w:r>
    </w:p>
    <w:p>
      <w:pPr>
        <w:pStyle w:val="TextBody"/>
        <w:bidi w:val="0"/>
        <w:spacing w:lineRule="auto" w:line="288" w:before="120" w:after="283"/>
        <w:ind w:left="0" w:right="0" w:firstLine="360"/>
        <w:jc w:val="both"/>
        <w:rPr>
          <w:rFonts w:ascii="Arial;sans-serif" w:hAnsi="Arial;sans-serif"/>
          <w:b/>
          <w:i/>
          <w:color w:val="000000"/>
          <w:sz w:val="20"/>
        </w:rPr>
      </w:pPr>
      <w:r>
        <w:rPr>
          <w:rFonts w:ascii="Arial;sans-serif" w:hAnsi="Arial;sans-serif"/>
          <w:b/>
          <w:i/>
          <w:color w:val="000000"/>
          <w:sz w:val="20"/>
        </w:rPr>
        <w:t>If we fail to maintain proper and effective internal controls, our ability to produce accurate financial statements on a timely basis could be impaired.</w:t>
      </w:r>
    </w:p>
    <w:p>
      <w:pPr>
        <w:pStyle w:val="TextBody"/>
        <w:bidi w:val="0"/>
        <w:spacing w:lineRule="auto" w:line="288" w:before="120" w:after="120"/>
        <w:ind w:left="0" w:right="0" w:firstLine="360"/>
        <w:jc w:val="both"/>
        <w:rPr/>
      </w:pPr>
      <w:r>
        <w:rPr>
          <w:rFonts w:ascii="Arial;sans-serif" w:hAnsi="Arial;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w:t>
      </w:r>
      <w:r>
        <w:rPr>
          <w:color w:val="000000"/>
        </w:rPr>
        <w:t xml:space="preserve"> </w:t>
      </w:r>
      <w:r>
        <w:rPr>
          <w:rFonts w:ascii="Arial;sans-serif" w:hAnsi="Arial;sans-serif"/>
          <w:b w:val="false"/>
          <w:color w:val="000000"/>
          <w:sz w:val="20"/>
        </w:rPr>
        <w:t>We have in the past and may in the future discover areas of our internal financial and accounting controls and procedures that need improvement. If we are unable to maintain proper and effective internal controls, we may not be able to produce accurate financial statements on a timely basis and might experience adverse regulatory consequences or violate NYSE listing standards, which could negatively impact our ability to operate our business and could result in regulatory action, and could require us to restate our financial statements. Any such restatement could result in a loss of public confidence in the reliability of our financial statements and sanctions imposed on us by the SEC.</w:t>
      </w:r>
    </w:p>
    <w:p>
      <w:pPr>
        <w:pStyle w:val="TextBody"/>
        <w:bidi w:val="0"/>
        <w:spacing w:lineRule="auto" w:line="288" w:before="120" w:after="120"/>
        <w:ind w:left="0" w:right="0" w:firstLine="360"/>
        <w:jc w:val="both"/>
        <w:rPr>
          <w:rFonts w:ascii="Arial;sans-serif" w:hAnsi="Arial;sans-serif"/>
          <w:b/>
          <w:i/>
          <w:color w:val="000000"/>
          <w:sz w:val="20"/>
        </w:rPr>
      </w:pPr>
      <w:r>
        <w:rPr>
          <w:rFonts w:ascii="Arial;sans-serif" w:hAnsi="Arial;sans-serif"/>
          <w:b/>
          <w:i/>
          <w:color w:val="000000"/>
          <w:sz w:val="20"/>
        </w:rPr>
        <w:t>Our charter documents, Delaware law and our status as a bank holding company could discourage, delay or prevent a takeover that stockholders consider favorable.</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Provisions in our certificate of incorporation and bylaws, as well as provisions under Delaware law, could discourage potential takeover attempts, reduce the price that investors might be willing to pay in the future for shares of our Class A common stock, and result in the trading price of our Class A common stock being lower than it otherwise would be. In addition to the foregoing, under the BHC Act and the Change in Bank Control Act, and their respective implementing regulations, Federal Reserve approval is necessary prior to any person or company acquiring control of a bank or BHC, subject to certain exceptions. Control, among other considerations, exists if an individual or company acquires 25% or more of any class of voting securities, and may be presumed to exist if a person acquires 10% or more of any class of voting securities. These restrictions could affect the willingness or ability of a third party to acquire control of us for so long as we are a BHC.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417" w:before="120" w:after="12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Insider Adoption or Termination of Trading Arrangements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During the fiscal quarter ended June 30, 2026, none of our directors or officers informed us of the adoption or termination of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6. Exhibits </w:t>
      </w:r>
    </w:p>
    <w:p>
      <w:pPr>
        <w:pStyle w:val="TextBody"/>
        <w:bidi w:val="0"/>
        <w:spacing w:lineRule="auto" w:line="288" w:before="120" w:after="120"/>
        <w:ind w:left="0" w:right="0" w:firstLine="360"/>
        <w:jc w:val="left"/>
        <w:rPr>
          <w:rFonts w:ascii="Arial;sans-serif" w:hAnsi="Arial;sans-serif"/>
          <w:b w:val="false"/>
          <w:color w:val="000000"/>
          <w:sz w:val="20"/>
        </w:rPr>
      </w:pPr>
      <w:r>
        <w:rPr>
          <w:rFonts w:ascii="Arial;sans-serif" w:hAnsi="Arial;sans-serif"/>
          <w:b w:val="false"/>
          <w:color w:val="000000"/>
          <w:sz w:val="20"/>
        </w:rPr>
        <w:t>The following documents are filed as exhibits to this report:</w:t>
      </w:r>
    </w:p>
    <w:tbl>
      <w:tblPr>
        <w:tblW w:w="10205" w:type="dxa"/>
        <w:jc w:val="left"/>
        <w:tblInd w:w="0" w:type="dxa"/>
        <w:tblLayout w:type="fixed"/>
        <w:tblCellMar>
          <w:top w:w="28" w:type="dxa"/>
          <w:left w:w="28" w:type="dxa"/>
          <w:bottom w:w="28" w:type="dxa"/>
          <w:right w:w="28" w:type="dxa"/>
        </w:tblCellMar>
      </w:tblPr>
      <w:tblGrid>
        <w:gridCol w:w="318"/>
        <w:gridCol w:w="279"/>
        <w:gridCol w:w="280"/>
        <w:gridCol w:w="109"/>
        <w:gridCol w:w="109"/>
        <w:gridCol w:w="109"/>
        <w:gridCol w:w="2774"/>
        <w:gridCol w:w="2584"/>
        <w:gridCol w:w="3643"/>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Exhibits</w:t>
            </w:r>
          </w:p>
        </w:tc>
      </w:tr>
      <w:tr>
        <w:trPr/>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b311-gdot06302026.htm">
              <w:r>
                <w:rPr>
                  <w:rStyle w:val="InternetLink"/>
                  <w:rFonts w:ascii="Arial;sans-serif" w:hAnsi="Arial;sans-serif"/>
                  <w:b w:val="false"/>
                  <w:color w:val="0000FF"/>
                  <w:sz w:val="16"/>
                  <w:u w:val="single"/>
                </w:rPr>
                <w:t>Certification of William I Jacobs, Principal Executive Officer, pursuant to Rule 13a-14(a)/15d-14(a), as adopted pursuant to Section 302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b312-gdot06302026.htm">
              <w:r>
                <w:rPr>
                  <w:rStyle w:val="InternetLink"/>
                  <w:rFonts w:ascii="Arial;sans-serif" w:hAnsi="Arial;sans-serif"/>
                  <w:b w:val="false"/>
                  <w:color w:val="0000FF"/>
                  <w:sz w:val="16"/>
                  <w:u w:val="single"/>
                </w:rPr>
                <w:t>Certification of Jess Unruh, Principal Financial Officer, pursuant to Rule 13a-14(a)/15d-14(a), as adopted pursuant to Section 302 of the Sarbanes-Oxley Act of 2002.</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b321-gdot06302026.htm">
              <w:r>
                <w:rPr>
                  <w:rStyle w:val="InternetLink"/>
                  <w:rFonts w:ascii="Arial;sans-serif" w:hAnsi="Arial;sans-serif"/>
                  <w:b w:val="false"/>
                  <w:color w:val="0000FF"/>
                  <w:sz w:val="16"/>
                  <w:u w:val="single"/>
                </w:rPr>
                <w:t>Certification of William I Jacobs, Principal Executive Officer, pursuant to 18 U.S.C. Section 1350, as adopted pursuant to Section 906 of the Sarbanes-Oxley Act of 2002. *</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b322-gdot06302026.htm">
              <w:r>
                <w:rPr>
                  <w:rStyle w:val="InternetLink"/>
                  <w:rFonts w:ascii="Arial;sans-serif" w:hAnsi="Arial;sans-serif"/>
                  <w:b w:val="false"/>
                  <w:color w:val="0000FF"/>
                  <w:sz w:val="16"/>
                  <w:u w:val="single"/>
                </w:rPr>
                <w:t>Certification of Jess Unruh, Principal Financial Officer, pursuant to 18 U.S.C. Section 1350, as adopted pursuant to Section 906 of the Sarbanes-Oxley Act of 2002. *</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following financial statements from the company's Quarterly Report on Form 10-Q for the quarter ended June 30, 2026, formatted in Inline XBRL: (i) Consolidated Balance Sheets, (ii) Consolidated Statements of Operations, (iii) Consolidated Statements of Comprehensive Income and Loss, (iv) Consolidated Statements of Changes in Stockholders' Equity, (v) Consolidated Statements of Cash Flows and (vi) Notes to Consolidated Financial Statements, tagged as blocks of text and including detailed tags.</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bl>
    <w:p>
      <w:pPr>
        <w:pStyle w:val="TextBody"/>
        <w:bidi w:val="0"/>
        <w:spacing w:lineRule="auto" w:line="288" w:before="0" w:after="0"/>
        <w:ind w:left="0" w:right="0" w:firstLine="360"/>
        <w:jc w:val="left"/>
        <w:rPr>
          <w:rFonts w:ascii="Arial;sans-serif" w:hAnsi="Arial;sans-serif"/>
          <w:b/>
          <w:color w:val="000000"/>
          <w:sz w:val="20"/>
        </w:rPr>
      </w:pPr>
      <w:r>
        <w:rPr>
          <w:rFonts w:ascii="Arial;sans-serif" w:hAnsi="Arial;sans-serif"/>
          <w:b/>
          <w:color w:val="000000"/>
          <w:sz w:val="20"/>
        </w:rPr>
        <w:t>_____________</w:t>
      </w:r>
    </w:p>
    <w:p>
      <w:pPr>
        <w:pStyle w:val="TextBody"/>
        <w:bidi w:val="0"/>
        <w:spacing w:lineRule="auto" w:line="288" w:before="120" w:after="60"/>
        <w:ind w:left="0" w:right="0" w:hanging="720"/>
        <w:jc w:val="both"/>
        <w:rPr>
          <w:rFonts w:ascii="Arial;sans-serif" w:hAnsi="Arial;sans-serif"/>
          <w:b w:val="false"/>
          <w:color w:val="000000"/>
          <w:sz w:val="16"/>
        </w:rPr>
      </w:pPr>
      <w:r>
        <w:rPr>
          <w:rFonts w:ascii="Arial;sans-serif" w:hAnsi="Arial;sans-serif"/>
          <w:b w:val="false"/>
          <w:color w:val="000000"/>
          <w:sz w:val="16"/>
        </w:rPr>
        <w:t>*    Furnished, not filed.</w:t>
      </w:r>
    </w:p>
    <w:p>
      <w:pPr>
        <w:pStyle w:val="TextBody"/>
        <w:bidi w:val="0"/>
        <w:spacing w:lineRule="auto" w:line="288" w:before="120" w:after="60"/>
        <w:ind w:left="0" w:right="0" w:hanging="720"/>
        <w:jc w:val="both"/>
        <w:rPr>
          <w:rFonts w:ascii="Arial;sans-serif" w:hAnsi="Arial;sans-serif"/>
          <w:b w:val="false"/>
          <w:color w:val="000000"/>
          <w:sz w:val="16"/>
        </w:rPr>
      </w:pPr>
      <w:r>
        <w:rPr>
          <w:rFonts w:ascii="Arial;sans-serif" w:hAnsi="Arial;sans-serif"/>
          <w:b w:val="false"/>
          <w:color w:val="000000"/>
          <w:sz w:val="16"/>
        </w:rPr>
        <w:t>+    Certain portions of this document that constitute confidential information have been redacted in accordance with Regulation S-K, Item 601(b)(10).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82abe83ae2c468bba96d6952951b314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590"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237"/>
        <w:gridCol w:w="237"/>
        <w:gridCol w:w="237"/>
        <w:gridCol w:w="237"/>
        <w:gridCol w:w="237"/>
        <w:gridCol w:w="237"/>
        <w:gridCol w:w="1451"/>
        <w:gridCol w:w="1451"/>
        <w:gridCol w:w="2152"/>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6" w:type="dxa"/>
            <w:gridSpan w:val="9"/>
            <w:tcBorders/>
            <w:tcMar>
              <w:top w:w="0" w:type="dxa"/>
              <w:left w:w="0" w:type="dxa"/>
              <w:bottom w:w="0" w:type="dxa"/>
              <w:right w:w="0" w:type="dxa"/>
            </w:tcMar>
            <w:vAlign w:val="center"/>
          </w:tcPr>
          <w:p>
            <w:pPr>
              <w:pStyle w:val="TableContents"/>
              <w:bidi w:val="0"/>
              <w:spacing w:lineRule="auto" w:line="240" w:before="360" w:after="283"/>
              <w:jc w:val="left"/>
              <w:rPr>
                <w:rFonts w:ascii="Arial;sans-serif" w:hAnsi="Arial;sans-serif"/>
                <w:b/>
                <w:color w:val="000000"/>
                <w:sz w:val="20"/>
              </w:rPr>
            </w:pPr>
            <w:r>
              <w:rPr>
                <w:rFonts w:ascii="Arial;sans-serif" w:hAnsi="Arial;sans-serif"/>
                <w:b/>
                <w:color w:val="000000"/>
                <w:sz w:val="20"/>
              </w:rPr>
              <w:t>Green Dot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Chief Executive Officer </w:t>
              <w:br/>
              <w:t>(Duly Authorized Officer and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 13A-14(A)/15D-14(A)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302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William I Jacobs, certify that: </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Green Dot Corporation;</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709" w:type="dxa"/>
        <w:jc w:val="center"/>
        <w:tblInd w:w="0" w:type="dxa"/>
        <w:tblLayout w:type="fixed"/>
        <w:tblCellMar>
          <w:top w:w="28" w:type="dxa"/>
          <w:left w:w="28" w:type="dxa"/>
          <w:bottom w:w="28" w:type="dxa"/>
          <w:right w:w="28" w:type="dxa"/>
        </w:tblCellMar>
      </w:tblPr>
      <w:tblGrid>
        <w:gridCol w:w="211"/>
        <w:gridCol w:w="186"/>
        <w:gridCol w:w="188"/>
        <w:gridCol w:w="509"/>
        <w:gridCol w:w="509"/>
        <w:gridCol w:w="511"/>
        <w:gridCol w:w="223"/>
        <w:gridCol w:w="223"/>
        <w:gridCol w:w="228"/>
        <w:gridCol w:w="109"/>
        <w:gridCol w:w="109"/>
        <w:gridCol w:w="109"/>
        <w:gridCol w:w="757"/>
        <w:gridCol w:w="757"/>
        <w:gridCol w:w="108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31.2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 13A-14(A)/15D-14(A)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302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Jess Unruh, certify that: </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Green Dot Corporation;</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620"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223"/>
        <w:gridCol w:w="223"/>
        <w:gridCol w:w="228"/>
        <w:gridCol w:w="109"/>
        <w:gridCol w:w="109"/>
        <w:gridCol w:w="109"/>
        <w:gridCol w:w="731"/>
        <w:gridCol w:w="731"/>
        <w:gridCol w:w="104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906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William I Jacobs, do hereby certify, pursuant to 18 U.S.C. Section 1350, as adopted pursuant to Section 906 of the Sarbanes-Oxley Act of 2002, that, to my knowledge: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Quarterly Report on Form 10-Q of Green Dot Corporation for the quarter ended June 30, 2026, as filed with the Securities and Exchange Commission on the date hereof (the "Report"), fully complies with the requirements of Section 13(a) or 15(d) of the Securities Exchange Act of 1934, as amended;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information contained in the Report fairly presents, in all material respects, the financial condition and results of operations of Green Dot Corporation.</w:t>
      </w:r>
    </w:p>
    <w:tbl>
      <w:tblPr>
        <w:tblW w:w="5709"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223"/>
        <w:gridCol w:w="223"/>
        <w:gridCol w:w="228"/>
        <w:gridCol w:w="109"/>
        <w:gridCol w:w="109"/>
        <w:gridCol w:w="109"/>
        <w:gridCol w:w="757"/>
        <w:gridCol w:w="757"/>
        <w:gridCol w:w="108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William I Jacobs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100" w:after="10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SECTION 906 OF THE SARBANES-OXLEY ACT OF 2002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 Jess Unruh, do hereby certify, pursuant to 18 U.S.C. Section 1350, as adopted pursuant to Section 906 of the Sarbanes-Oxley Act of 2002, that, to my knowledge: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Quarterly Report on Form 10-Q of Green Dot Corporation for the quarter ended June 30, 2026, as filed with the Securities and Exchange Commission on the date hereof (the "Report"), fully complies with the requirements of Section 13(a) or 15(d) of the Securities Exchange Act of 1934, as amended;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information contained in the Report fairly presents, in all material respects, the financial condition and results of operations of Green Dot Corporation.</w:t>
      </w:r>
    </w:p>
    <w:tbl>
      <w:tblPr>
        <w:tblW w:w="5620"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223"/>
        <w:gridCol w:w="223"/>
        <w:gridCol w:w="228"/>
        <w:gridCol w:w="109"/>
        <w:gridCol w:w="109"/>
        <w:gridCol w:w="109"/>
        <w:gridCol w:w="731"/>
        <w:gridCol w:w="731"/>
        <w:gridCol w:w="104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10, 2026</w:t>
            </w:r>
          </w:p>
        </w:tc>
        <w:tc>
          <w:tcPr>
            <w:tcW w:w="67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 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Jess Unruh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100" w:after="10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42339</Words>
  <Characters>234926</Characters>
  <CharactersWithSpaces>274815</CharactersWithSpaces>
  <Paragraphs>4177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