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UNITED STATES</w:t>
      </w:r>
    </w:p>
    <w:p>
      <w:pPr>
        <w:pStyle w:val="TextBody"/>
        <w:bidi w:val="0"/>
        <w:spacing w:lineRule="auto" w:line="288" w:before="0" w:after="0"/>
        <w:jc w:val="center"/>
        <w:rPr>
          <w:rFonts w:ascii="Arial;sans-serif" w:hAnsi="Arial;sans-serif"/>
          <w:b/>
          <w:color w:val="000000"/>
          <w:sz w:val="28"/>
        </w:rPr>
      </w:pPr>
      <w:r>
        <w:rPr>
          <w:rFonts w:ascii="Arial;sans-serif" w:hAnsi="Arial;sans-serif"/>
          <w:b/>
          <w:color w:val="000000"/>
          <w:sz w:val="28"/>
        </w:rPr>
        <w:t>SECURITIES AND EXCHANGE COMMISSION</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36"/>
        </w:rPr>
      </w:pPr>
      <w:r>
        <w:rPr>
          <w:rFonts w:ascii="Arial;sans-serif" w:hAnsi="Arial;sans-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Pursuant to Section 13 or 15(d) of</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Date of Report (Date of Earliest Event Reported): August 10,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44"/>
        </w:rPr>
      </w:pPr>
      <w:r>
        <w:rPr>
          <w:rFonts w:ascii="Arial;sans-serif" w:hAnsi="Arial;sans-serif"/>
          <w:b/>
          <w:color w:val="000000"/>
          <w:sz w:val="44"/>
        </w:rPr>
        <w:t>Green Dot Corporation</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(Exact Name of the Registrant as Specified in Its Charter)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 xml:space="preserve">Delaware </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(State or Other Jurisdiction of Incorporation)</w:t>
      </w:r>
    </w:p>
    <w:tbl>
      <w:tblPr>
        <w:tblW w:w="5441" w:type="dxa"/>
        <w:jc w:val="center"/>
        <w:tblInd w:w="0" w:type="dxa"/>
        <w:tblLayout w:type="fixed"/>
        <w:tblCellMar>
          <w:top w:w="28" w:type="dxa"/>
          <w:left w:w="28" w:type="dxa"/>
          <w:bottom w:w="28" w:type="dxa"/>
          <w:right w:w="28" w:type="dxa"/>
        </w:tblCellMar>
      </w:tblPr>
      <w:tblGrid>
        <w:gridCol w:w="837"/>
        <w:gridCol w:w="733"/>
        <w:gridCol w:w="740"/>
        <w:gridCol w:w="109"/>
        <w:gridCol w:w="109"/>
        <w:gridCol w:w="109"/>
        <w:gridCol w:w="818"/>
        <w:gridCol w:w="818"/>
        <w:gridCol w:w="1168"/>
      </w:tblGrid>
      <w:tr>
        <w:trPr/>
        <w:tc>
          <w:tcPr>
            <w:tcW w:w="83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001-34819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95-4766827</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(IRS Employer Identification No.)</w:t>
            </w:r>
          </w:p>
        </w:tc>
      </w:tr>
    </w:tbl>
    <w:tbl>
      <w:tblPr>
        <w:tblW w:w="9460" w:type="dxa"/>
        <w:jc w:val="center"/>
        <w:tblInd w:w="0" w:type="dxa"/>
        <w:tblLayout w:type="fixed"/>
        <w:tblCellMar>
          <w:top w:w="28" w:type="dxa"/>
          <w:left w:w="28" w:type="dxa"/>
          <w:bottom w:w="28" w:type="dxa"/>
          <w:right w:w="28" w:type="dxa"/>
        </w:tblCellMar>
      </w:tblPr>
      <w:tblGrid>
        <w:gridCol w:w="124"/>
        <w:gridCol w:w="109"/>
        <w:gridCol w:w="109"/>
        <w:gridCol w:w="426"/>
        <w:gridCol w:w="426"/>
        <w:gridCol w:w="426"/>
        <w:gridCol w:w="426"/>
        <w:gridCol w:w="426"/>
        <w:gridCol w:w="426"/>
        <w:gridCol w:w="426"/>
        <w:gridCol w:w="426"/>
        <w:gridCol w:w="426"/>
        <w:gridCol w:w="109"/>
        <w:gridCol w:w="109"/>
        <w:gridCol w:w="109"/>
        <w:gridCol w:w="109"/>
        <w:gridCol w:w="109"/>
        <w:gridCol w:w="109"/>
        <w:gridCol w:w="236"/>
        <w:gridCol w:w="236"/>
        <w:gridCol w:w="236"/>
        <w:gridCol w:w="388"/>
        <w:gridCol w:w="388"/>
        <w:gridCol w:w="392"/>
        <w:gridCol w:w="648"/>
        <w:gridCol w:w="648"/>
        <w:gridCol w:w="652"/>
        <w:gridCol w:w="236"/>
        <w:gridCol w:w="236"/>
        <w:gridCol w:w="3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1675 N. Freedom Blvd (200 West) Building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Provo,</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Utah</w:t>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84604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(626)</w:t>
            </w:r>
          </w:p>
        </w:tc>
        <w:tc>
          <w:tcPr>
            <w:tcW w:w="19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765-2000</w:t>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(Registrant's Telephone Number, Including Area Code)</w:t>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88" w:before="0" w:after="0"/>
        <w:jc w:val="center"/>
        <w:rPr>
          <w:rFonts w:ascii="Arial;sans-serif" w:hAnsi="Arial;sans-serif"/>
          <w:b w:val="false"/>
          <w:i/>
          <w:color w:val="000000"/>
          <w:sz w:val="18"/>
        </w:rPr>
      </w:pPr>
      <w:r>
        <w:rPr>
          <w:rFonts w:ascii="Arial;sans-serif" w:hAnsi="Arial;sans-serif"/>
          <w:b w:val="false"/>
          <w:i/>
          <w:color w:val="000000"/>
          <w:sz w:val="18"/>
        </w:rPr>
        <w:t>(Former Name or Former Address, If Changed Since Last Report)</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36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80"/>
        <w:jc w:val="both"/>
        <w:rPr/>
      </w:pPr>
      <w:r>
        <w:rPr/>
      </w:r>
    </w:p>
    <w:p>
      <w:pPr>
        <w:pStyle w:val="TextBody"/>
        <w:bidi w:val="0"/>
        <w:spacing w:lineRule="auto" w:line="288" w:before="0" w:after="0"/>
        <w:ind w:left="0" w:right="0" w:firstLine="180"/>
        <w:jc w:val="both"/>
        <w:rPr/>
      </w:pPr>
      <w:r>
        <w:rPr>
          <w:color w:val="000000"/>
        </w:rPr>
        <w:t xml:space="preserve">☐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80"/>
        <w:jc w:val="both"/>
        <w:rPr/>
      </w:pPr>
      <w:r>
        <w:rPr/>
      </w:r>
    </w:p>
    <w:p>
      <w:pPr>
        <w:pStyle w:val="TextBody"/>
        <w:bidi w:val="0"/>
        <w:spacing w:lineRule="auto" w:line="288" w:before="0" w:after="0"/>
        <w:ind w:left="0" w:right="0" w:firstLine="180"/>
        <w:jc w:val="left"/>
        <w:rPr/>
      </w:pPr>
      <w:r>
        <w:rPr>
          <w:color w:val="000000"/>
        </w:rPr>
        <w:t xml:space="preserve">☐ </w:t>
      </w:r>
      <w:r>
        <w:rPr>
          <w:rFonts w:ascii="Arial;sans-serif" w:hAnsi="Arial;sans-serif"/>
          <w:b w:val="false"/>
          <w:color w:val="000000"/>
          <w:sz w:val="18"/>
        </w:rPr>
        <w:t>Pre-commencement communications pursuant to Rule 13e-4(c) under the Exchange Act (17 CFR 240.13e-4(c))</w:t>
      </w:r>
    </w:p>
    <w:tbl>
      <w:tblPr>
        <w:tblW w:w="9240" w:type="dxa"/>
        <w:jc w:val="center"/>
        <w:tblInd w:w="0" w:type="dxa"/>
        <w:tblLayout w:type="fixed"/>
        <w:tblCellMar>
          <w:top w:w="28" w:type="dxa"/>
          <w:left w:w="28" w:type="dxa"/>
          <w:bottom w:w="28" w:type="dxa"/>
          <w:right w:w="28" w:type="dxa"/>
        </w:tblCellMar>
      </w:tblPr>
      <w:tblGrid>
        <w:gridCol w:w="1272"/>
        <w:gridCol w:w="1119"/>
        <w:gridCol w:w="1119"/>
        <w:gridCol w:w="575"/>
        <w:gridCol w:w="575"/>
        <w:gridCol w:w="575"/>
        <w:gridCol w:w="1172"/>
        <w:gridCol w:w="1172"/>
        <w:gridCol w:w="1661"/>
      </w:tblGrid>
      <w:tr>
        <w:trPr/>
        <w:tc>
          <w:tcPr>
            <w:tcW w:w="1272"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1" w:type="dxa"/>
            <w:tcBorders/>
            <w:vAlign w:val="center"/>
          </w:tcPr>
          <w:p>
            <w:pPr>
              <w:pStyle w:val="TableContents"/>
              <w:bidi w:val="0"/>
              <w:spacing w:before="0" w:after="283"/>
              <w:jc w:val="left"/>
              <w:rPr>
                <w:sz w:val="4"/>
                <w:szCs w:val="4"/>
              </w:rPr>
            </w:pPr>
            <w:r>
              <w:rPr>
                <w:sz w:val="4"/>
                <w:szCs w:val="4"/>
              </w:rPr>
            </w:r>
          </w:p>
        </w:tc>
      </w:tr>
      <w:tr>
        <w:trPr/>
        <w:tc>
          <w:tcPr>
            <w:tcW w:w="9240" w:type="dxa"/>
            <w:gridSpan w:val="9"/>
            <w:tcBorders/>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8"/>
              </w:rPr>
            </w:pPr>
            <w:r>
              <w:rPr>
                <w:rFonts w:ascii="Arial;sans-serif" w:hAnsi="Arial;sans-serif"/>
                <w:b/>
                <w:color w:val="000000"/>
                <w:sz w:val="18"/>
              </w:rPr>
              <w:t>Securities registered pursuant to Section 12(b) of the Act:</w:t>
            </w:r>
          </w:p>
        </w:tc>
      </w:tr>
      <w:tr>
        <w:trPr/>
        <w:tc>
          <w:tcPr>
            <w:tcW w:w="3510"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72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Symbol(s):</w:t>
            </w:r>
          </w:p>
        </w:tc>
        <w:tc>
          <w:tcPr>
            <w:tcW w:w="40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3510"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Class A Common Stock, $0.001 par value</w:t>
            </w:r>
          </w:p>
        </w:tc>
        <w:tc>
          <w:tcPr>
            <w:tcW w:w="172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GDOT</w:t>
            </w:r>
          </w:p>
        </w:tc>
        <w:tc>
          <w:tcPr>
            <w:tcW w:w="40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New York Stock Exchange</w:t>
            </w:r>
          </w:p>
        </w:tc>
      </w:tr>
    </w:tbl>
    <w:p>
      <w:pPr>
        <w:pStyle w:val="TextBody"/>
        <w:bidi w:val="0"/>
        <w:spacing w:lineRule="auto" w:line="288" w:before="120" w:after="283"/>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20" w:after="283"/>
        <w:jc w:val="right"/>
        <w:rPr/>
      </w:pPr>
      <w:r>
        <w:rPr>
          <w:rFonts w:ascii="Arial;sans-serif" w:hAnsi="Arial;sans-serif"/>
          <w:b w:val="false"/>
          <w:color w:val="000000"/>
          <w:sz w:val="18"/>
        </w:rPr>
        <w:t>Emerging growth company</w:t>
      </w:r>
      <w:r>
        <w:rPr>
          <w:color w:val="000000"/>
        </w:rPr>
        <w:t xml:space="preserve"> ☐ </w:t>
      </w:r>
    </w:p>
    <w:p>
      <w:pPr>
        <w:pStyle w:val="TextBody"/>
        <w:bidi w:val="0"/>
        <w:spacing w:lineRule="auto" w:line="288" w:before="120" w:after="283"/>
        <w:jc w:val="both"/>
        <w:rPr/>
      </w:pPr>
      <w:r>
        <w:rPr>
          <w:rFonts w:ascii="Arial;sans-serif" w:hAnsi="Arial;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2.02. Results of Operations and Financial Condition.</w:t>
      </w:r>
    </w:p>
    <w:p>
      <w:pPr>
        <w:pStyle w:val="TextBody"/>
        <w:bidi w:val="0"/>
        <w:spacing w:lineRule="auto" w:line="288" w:before="0" w:after="180"/>
        <w:ind w:left="0" w:right="0" w:firstLine="360"/>
        <w:jc w:val="both"/>
        <w:rPr>
          <w:rFonts w:ascii="Arial;sans-serif" w:hAnsi="Arial;sans-serif"/>
          <w:b w:val="false"/>
          <w:color w:val="000000"/>
          <w:sz w:val="20"/>
        </w:rPr>
      </w:pPr>
      <w:r>
        <w:rPr>
          <w:rFonts w:ascii="Arial;sans-serif" w:hAnsi="Arial;sans-serif"/>
          <w:b w:val="false"/>
          <w:color w:val="000000"/>
          <w:sz w:val="20"/>
        </w:rPr>
        <w:t xml:space="preserve">On August 10, 2026, Green Dot Corporation (the "Company") issued a press release announcing its financial results for the quarter ended June 30, 2026 and certain other financial information. A copy of the press release is furnished as Exhibit 99.01 to this Current Report and is incorporated herein by reference. </w:t>
      </w:r>
    </w:p>
    <w:p>
      <w:pPr>
        <w:pStyle w:val="TextBody"/>
        <w:bidi w:val="0"/>
        <w:spacing w:lineRule="auto" w:line="288" w:before="0" w:after="180"/>
        <w:ind w:left="0" w:right="0" w:firstLine="360"/>
        <w:jc w:val="both"/>
        <w:rPr/>
      </w:pPr>
      <w:r>
        <w:rPr>
          <w:rFonts w:ascii="Arial;sans-serif" w:hAnsi="Arial;sans-serif"/>
          <w:b w:val="false"/>
          <w:color w:val="000000"/>
          <w:sz w:val="20"/>
        </w:rPr>
        <w:t>The information furnished in this Current Report, including the exhibits hereto, shall not be deemed “filed” for purposes of Section 18 of the Securities Exchange Act of 1934, as amended (the “</w:t>
      </w:r>
      <w:r>
        <w:rPr>
          <w:rFonts w:ascii="Arial;sans-serif" w:hAnsi="Arial;sans-serif"/>
          <w:b/>
          <w:i/>
          <w:color w:val="000000"/>
          <w:sz w:val="20"/>
        </w:rPr>
        <w:t>Exchange Act</w:t>
      </w:r>
      <w:r>
        <w:rPr>
          <w:color w:val="000000"/>
        </w:rPr>
        <w:t>”</w:t>
      </w:r>
      <w:r>
        <w:rPr>
          <w:rFonts w:ascii="Arial;sans-serif" w:hAnsi="Arial;sans-serif"/>
          <w:b w:val="false"/>
          <w:color w:val="000000"/>
          <w:sz w:val="20"/>
        </w:rPr>
        <w:t>), or incorporated by reference in any filing under the Securities Act of 1933, as amended, or the Exchange Act, except as shall be expressly set forth by specific reference in such a filing.</w:t>
      </w:r>
    </w:p>
    <w:p>
      <w:pPr>
        <w:pStyle w:val="TextBody"/>
        <w:bidi w:val="0"/>
        <w:spacing w:lineRule="auto" w:line="288" w:before="0" w:after="18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(d) Exhibits.</w:t>
      </w:r>
    </w:p>
    <w:tbl>
      <w:tblPr>
        <w:tblW w:w="7496" w:type="dxa"/>
        <w:jc w:val="center"/>
        <w:tblInd w:w="0" w:type="dxa"/>
        <w:tblLayout w:type="fixed"/>
        <w:tblCellMar>
          <w:top w:w="28" w:type="dxa"/>
          <w:left w:w="28" w:type="dxa"/>
          <w:bottom w:w="28" w:type="dxa"/>
          <w:right w:w="28" w:type="dxa"/>
        </w:tblCellMar>
      </w:tblPr>
      <w:tblGrid>
        <w:gridCol w:w="489"/>
        <w:gridCol w:w="429"/>
        <w:gridCol w:w="431"/>
        <w:gridCol w:w="109"/>
        <w:gridCol w:w="109"/>
        <w:gridCol w:w="109"/>
        <w:gridCol w:w="1703"/>
        <w:gridCol w:w="1703"/>
        <w:gridCol w:w="2414"/>
      </w:tblGrid>
      <w:tr>
        <w:trPr/>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Description of Exhibits</w:t>
            </w:r>
          </w:p>
        </w:tc>
      </w:tr>
      <w:tr>
        <w:trPr/>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06302026-exb9901earningsr.htm">
              <w:r>
                <w:rPr>
                  <w:rStyle w:val="InternetLink"/>
                  <w:rFonts w:ascii="Arial;sans-serif" w:hAnsi="Arial;sans-serif"/>
                  <w:b w:val="false"/>
                  <w:color w:val="0000FF"/>
                  <w:sz w:val="16"/>
                  <w:u w:val="single"/>
                </w:rPr>
                <w:t>Press release, dated August 10, 2026</w:t>
              </w:r>
            </w:hyperlink>
          </w:p>
        </w:tc>
      </w:tr>
      <w:tr>
        <w:trPr/>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Cover Page Interactive Data File (embedded within the Inline XBRL document)</w:t>
            </w:r>
          </w:p>
        </w:tc>
      </w:tr>
    </w:tbl>
    <w:p>
      <w:pPr>
        <w:pStyle w:val="TextBody"/>
        <w:bidi w:val="0"/>
        <w:spacing w:before="60" w:after="120"/>
        <w:ind w:left="0" w:right="0" w:hanging="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0" w:after="18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tbl>
      <w:tblPr>
        <w:tblW w:w="4266" w:type="dxa"/>
        <w:jc w:val="left"/>
        <w:tblInd w:w="0" w:type="dxa"/>
        <w:tblLayout w:type="fixed"/>
        <w:tblCellMar>
          <w:top w:w="28" w:type="dxa"/>
          <w:left w:w="28" w:type="dxa"/>
          <w:bottom w:w="28" w:type="dxa"/>
          <w:right w:w="28" w:type="dxa"/>
        </w:tblCellMar>
      </w:tblPr>
      <w:tblGrid>
        <w:gridCol w:w="344"/>
        <w:gridCol w:w="302"/>
        <w:gridCol w:w="302"/>
        <w:gridCol w:w="302"/>
        <w:gridCol w:w="302"/>
        <w:gridCol w:w="302"/>
        <w:gridCol w:w="671"/>
        <w:gridCol w:w="671"/>
        <w:gridCol w:w="698"/>
        <w:gridCol w:w="109"/>
        <w:gridCol w:w="109"/>
        <w:gridCol w:w="154"/>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9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GREEN DOT CORPORATION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Jess Unruh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Jess Unruh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Date: August 10, 2026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99.01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0.9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drawing>
          <wp:inline distT="0" distB="0" distL="0" distR="0">
            <wp:extent cx="2085975" cy="4572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85975" cy="457200"/>
                    </a:xfrm>
                    <a:prstGeom prst="rect">
                      <a:avLst/>
                    </a:prstGeom>
                  </pic:spPr>
                </pic:pic>
              </a:graphicData>
            </a:graphic>
          </wp:inline>
        </w:drawing>
      </w:r>
    </w:p>
    <w:p>
      <w:pPr>
        <w:pStyle w:val="TextBody"/>
        <w:bidi w:val="0"/>
        <w:spacing w:lineRule="auto" w:line="288" w:before="180" w:after="180"/>
        <w:jc w:val="center"/>
        <w:rPr>
          <w:rFonts w:ascii="Arial;sans-serif" w:hAnsi="Arial;sans-serif"/>
          <w:b/>
          <w:color w:val="000000"/>
          <w:sz w:val="28"/>
        </w:rPr>
      </w:pPr>
      <w:r>
        <w:rPr>
          <w:rFonts w:ascii="Arial;sans-serif" w:hAnsi="Arial;sans-serif"/>
          <w:b/>
          <w:color w:val="000000"/>
          <w:sz w:val="28"/>
        </w:rPr>
        <w:t>Green Dot Reports Second Quarter 2026 Results</w:t>
      </w:r>
    </w:p>
    <w:p>
      <w:pPr>
        <w:pStyle w:val="TextBody"/>
        <w:bidi w:val="0"/>
        <w:spacing w:lineRule="auto" w:line="276" w:before="0" w:after="0"/>
        <w:jc w:val="center"/>
        <w:rPr>
          <w:rFonts w:ascii="Arial;sans-serif" w:hAnsi="Arial;sans-serif"/>
          <w:b w:val="false"/>
          <w:i/>
          <w:color w:val="000000"/>
          <w:sz w:val="22"/>
        </w:rPr>
      </w:pPr>
      <w:r>
        <w:rPr>
          <w:rFonts w:ascii="Arial;sans-serif" w:hAnsi="Arial;sans-serif"/>
          <w:b w:val="false"/>
          <w:i/>
          <w:color w:val="000000"/>
          <w:sz w:val="22"/>
        </w:rPr>
        <w:t>Company Delivers Another Quarter of Solid Performance as It Makes Progress Modernizing Its Platform and Optimizing Its Balance Sheet in Preparation for Acquisition by Smith Ventures and CommerceOne</w:t>
      </w:r>
    </w:p>
    <w:p>
      <w:pPr>
        <w:pStyle w:val="TextBody"/>
        <w:bidi w:val="0"/>
        <w:spacing w:lineRule="auto" w:line="288" w:before="180" w:after="180"/>
        <w:jc w:val="both"/>
        <w:rPr/>
      </w:pPr>
      <w:r>
        <w:rPr>
          <w:rFonts w:ascii="Arial;sans-serif" w:hAnsi="Arial;sans-serif"/>
          <w:b/>
          <w:color w:val="000000"/>
          <w:sz w:val="22"/>
        </w:rPr>
        <w:t xml:space="preserve">Provo, UT - August 10, 2026 </w:t>
      </w:r>
      <w:r>
        <w:rPr>
          <w:rFonts w:ascii="Arial;sans-serif" w:hAnsi="Arial;sans-serif"/>
          <w:b w:val="false"/>
          <w:color w:val="000000"/>
          <w:sz w:val="22"/>
        </w:rPr>
        <w:t>- Green Dot Corporation (NYSE: GDOT) ("Green Dot"), a financial technology and bank holding company that delivers seamless banking and payments solutions to consumers and businesses of all sizes, today reported its financial results for the quarter ended June 30, 2026.</w:t>
      </w:r>
    </w:p>
    <w:p>
      <w:pPr>
        <w:pStyle w:val="TextBody"/>
        <w:bidi w:val="0"/>
        <w:spacing w:lineRule="auto" w:line="288" w:before="0" w:after="0"/>
        <w:jc w:val="both"/>
        <w:rPr>
          <w:color w:val="000000"/>
        </w:rPr>
      </w:pPr>
      <w:r>
        <w:rPr>
          <w:color w:val="000000"/>
        </w:rPr>
        <w:t>“</w:t>
      </w:r>
      <w:r>
        <w:rPr>
          <w:rFonts w:ascii="Arial;sans-serif" w:hAnsi="Arial;sans-serif"/>
          <w:b w:val="false"/>
          <w:color w:val="000000"/>
          <w:sz w:val="22"/>
        </w:rPr>
        <w:t>The business continues to make headway in strengthening the foundation and optimizing our balance sheet, and we are seeing those efforts pay off,” said William I Jacobs, Chairman and Chief Executive Officer, Green Dot Corporation. “We are pleased to deliver another solid quarter as we prepare for our next chapter with Smith Ventures and CommerceOne.”</w:t>
      </w: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Consolidated Results Summary</w:t>
      </w:r>
    </w:p>
    <w:tbl>
      <w:tblPr>
        <w:tblW w:w="10205" w:type="dxa"/>
        <w:jc w:val="left"/>
        <w:tblInd w:w="0" w:type="dxa"/>
        <w:tblLayout w:type="fixed"/>
        <w:tblCellMar>
          <w:top w:w="28" w:type="dxa"/>
          <w:left w:w="28" w:type="dxa"/>
          <w:bottom w:w="28" w:type="dxa"/>
          <w:right w:w="28" w:type="dxa"/>
        </w:tblCellMar>
      </w:tblPr>
      <w:tblGrid>
        <w:gridCol w:w="701"/>
        <w:gridCol w:w="467"/>
        <w:gridCol w:w="471"/>
        <w:gridCol w:w="196"/>
        <w:gridCol w:w="751"/>
        <w:gridCol w:w="256"/>
        <w:gridCol w:w="109"/>
        <w:gridCol w:w="109"/>
        <w:gridCol w:w="109"/>
        <w:gridCol w:w="196"/>
        <w:gridCol w:w="736"/>
        <w:gridCol w:w="256"/>
        <w:gridCol w:w="109"/>
        <w:gridCol w:w="109"/>
        <w:gridCol w:w="109"/>
        <w:gridCol w:w="305"/>
        <w:gridCol w:w="305"/>
        <w:gridCol w:w="306"/>
        <w:gridCol w:w="109"/>
        <w:gridCol w:w="109"/>
        <w:gridCol w:w="109"/>
        <w:gridCol w:w="196"/>
        <w:gridCol w:w="886"/>
        <w:gridCol w:w="256"/>
        <w:gridCol w:w="109"/>
        <w:gridCol w:w="109"/>
        <w:gridCol w:w="109"/>
        <w:gridCol w:w="196"/>
        <w:gridCol w:w="871"/>
        <w:gridCol w:w="256"/>
        <w:gridCol w:w="109"/>
        <w:gridCol w:w="109"/>
        <w:gridCol w:w="109"/>
        <w:gridCol w:w="281"/>
        <w:gridCol w:w="281"/>
        <w:gridCol w:w="401"/>
      </w:tblGrid>
      <w:tr>
        <w:trPr/>
        <w:tc>
          <w:tcPr>
            <w:tcW w:w="70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Change</w:t>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 and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180"/>
              <w:jc w:val="both"/>
              <w:rPr>
                <w:rFonts w:ascii="Arial;sans-serif" w:hAnsi="Arial;sans-serif"/>
                <w:b/>
                <w:color w:val="000000"/>
                <w:sz w:val="16"/>
              </w:rPr>
            </w:pPr>
            <w:r>
              <w:rPr>
                <w:rFonts w:ascii="Arial;sans-serif" w:hAnsi="Arial;sans-serif"/>
                <w:b/>
                <w:color w:val="000000"/>
                <w:sz w:val="16"/>
              </w:rPr>
              <w:t>GAAP financial results</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(loss) earnings per common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w:t>
            </w:r>
          </w:p>
        </w:tc>
      </w:tr>
      <w:tr>
        <w:trPr/>
        <w:tc>
          <w:tcPr>
            <w:tcW w:w="1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tcMar>
              <w:top w:w="0" w:type="dxa"/>
              <w:left w:w="0" w:type="dxa"/>
              <w:bottom w:w="0" w:type="dxa"/>
              <w:right w:w="0" w:type="dxa"/>
            </w:tcMar>
            <w:vAlign w:val="center"/>
          </w:tcPr>
          <w:p>
            <w:pPr>
              <w:pStyle w:val="TableContents"/>
              <w:bidi w:val="0"/>
              <w:spacing w:lineRule="auto" w:line="240" w:before="0" w:after="180"/>
              <w:jc w:val="left"/>
              <w:rPr/>
            </w:pPr>
            <w:r>
              <w:rPr>
                <w:rFonts w:ascii="Arial;sans-serif" w:hAnsi="Arial;sans-serif"/>
                <w:b/>
                <w:color w:val="000000"/>
                <w:sz w:val="16"/>
              </w:rPr>
              <w:t>Non-GAAP financial results</w:t>
            </w:r>
            <w:r>
              <w:rPr>
                <w:rFonts w:ascii="Arial;sans-serif" w:hAnsi="Arial;sans-serif"/>
                <w:b/>
                <w:color w:val="000000"/>
                <w:sz w:val="10"/>
              </w:rPr>
              <w:t>1</w:t>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Non-GAAP total operating revenues</w:t>
            </w:r>
            <w:r>
              <w:rPr>
                <w:rFonts w:ascii="Arial;sans-serif" w:hAnsi="Arial;sans-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591,285</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1,243,317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1,057,128 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18%</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Adjusted EBITDA</w:t>
            </w:r>
            <w:r>
              <w:rPr>
                <w:rFonts w:ascii="Arial;sans-serif" w:hAnsi="Arial;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142,616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135,984 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Adjusted EBITDA/Non-GAAP total operating revenues (adjusted EBITDA margin)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(1.4)%</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Non-GAAP net income</w:t>
            </w:r>
            <w:r>
              <w:rPr>
                <w:rFonts w:ascii="Arial;sans-serif" w:hAnsi="Arial;sans-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14,912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79,882</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w:t>
            </w:r>
          </w:p>
        </w:tc>
      </w:tr>
      <w:tr>
        <w:trPr/>
        <w:tc>
          <w:tcPr>
            <w:tcW w:w="1639" w:type="dxa"/>
            <w:gridSpan w:val="3"/>
            <w:tcBorders/>
            <w:shd w:fill="CCEEFF" w:val="clear"/>
            <w:tcMar>
              <w:top w:w="0" w:type="dxa"/>
              <w:left w:w="0" w:type="dxa"/>
              <w:bottom w:w="0" w:type="dxa"/>
              <w:right w:w="0" w:type="dxa"/>
            </w:tcMar>
            <w:vAlign w:val="center"/>
          </w:tcPr>
          <w:p>
            <w:pPr>
              <w:pStyle w:val="TableContents"/>
              <w:bidi w:val="0"/>
              <w:spacing w:lineRule="auto" w:line="240" w:before="0" w:after="180"/>
              <w:jc w:val="both"/>
              <w:rPr/>
            </w:pPr>
            <w:r>
              <w:rPr>
                <w:rFonts w:ascii="Arial;sans-serif" w:hAnsi="Arial;sans-serif"/>
                <w:b w:val="false"/>
                <w:color w:val="000000"/>
                <w:sz w:val="16"/>
              </w:rPr>
              <w:t>Non-GAAP diluted earnings per share</w:t>
            </w:r>
            <w:r>
              <w:rPr>
                <w:rFonts w:ascii="Arial;sans-serif" w:hAnsi="Arial;sans-serif"/>
                <w:b w:val="false"/>
                <w:color w:val="000000"/>
                <w:sz w:val="10"/>
              </w:rPr>
              <w:t>1</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w:t>
            </w:r>
          </w:p>
        </w:tc>
      </w:tr>
      <w:tr>
        <w:trPr/>
        <w:tc>
          <w:tcPr>
            <w:tcW w:w="1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 Change not meaningful</w:t>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Arial;sans-serif" w:hAnsi="Arial;sans-serif"/>
          <w:b w:val="false"/>
          <w:color w:val="000000"/>
          <w:sz w:val="22"/>
        </w:rPr>
      </w:pPr>
      <w:r>
        <w:rPr>
          <w:rFonts w:ascii="Arial;sans-serif" w:hAnsi="Arial;sans-serif"/>
          <w:b w:val="false"/>
          <w:color w:val="000000"/>
          <w:sz w:val="22"/>
        </w:rPr>
        <w:t>Cash at the holding company was approximately $56 million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066800"/>
                <wp:effectExtent l="0" t="0" r="0" b="0"/>
                <wp:wrapNone/>
                <wp:docPr id="5" name="Frame4"/>
                <a:graphic xmlns:a="http://schemas.openxmlformats.org/drawingml/2006/main">
                  <a:graphicData uri="http://schemas.microsoft.com/office/word/2010/wordprocessingShape">
                    <wps:wsp>
                      <wps:cNvSpPr txBox="1"/>
                      <wps:spPr>
                        <a:xfrm>
                          <a:off x="0" y="0"/>
                          <a:ext cx="6480175" cy="1066800"/>
                        </a:xfrm>
                        <a:prstGeom prst="rect"/>
                        <a:solidFill>
                          <a:srgbClr val="FFFFFF"/>
                        </a:solidFill>
                      </wps:spPr>
                      <wps:txbx>
                        <w:txbxContent>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Reconciliations of total operating revenues to non-GAAP total operating revenues, net income to adjusted EBITDA, net income to non-GAAP net income, and diluted earnings per share to non-GAAP diluted earnings per share, respectively, are provided in the tables immediately following the unaudited consolidated financial statements. Additional information about Green Dot's non-GAAP financial measures can be found under the caption “About Non-GAAP Financial Measures” below.</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4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1</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val="false"/>
                                <w:color w:val="000000"/>
                                <w:sz w:val="16"/>
                              </w:rPr>
                            </w:pPr>
                            <w:r>
                              <w:rPr>
                                <w:rFonts w:ascii="Arial;sans-serif" w:hAnsi="Arial;sans-serif"/>
                                <w:b w:val="false"/>
                                <w:color w:val="000000"/>
                                <w:sz w:val="16"/>
                              </w:rPr>
                              <w:t>Reconciliations of total operating revenues to non-GAAP total operating revenues, net income to adjusted EBITDA, net income to non-GAAP net income, and diluted earnings per share to non-GAAP diluted earnings per share, respectively, are provided in the tables immediately following the unaudited consolidated financial statements. Additional information about Green Dot's non-GAAP financial measures can be found under the caption “About Non-GAAP Financial Measures” below.</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Key Metrics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following table shows Green Dot's quarterly key business metrics for each of the last six calendar quarters on a consolidated basis and by each of its reportable segments. Please refer to Green Dot’s latest Annual Report on Form 10-K, as amended, for a description of the key business metrics, as well as additional information regarding how Green Dot organizes its business by segment.</w:t>
      </w:r>
    </w:p>
    <w:tbl>
      <w:tblPr>
        <w:tblW w:w="9655" w:type="dxa"/>
        <w:jc w:val="left"/>
        <w:tblInd w:w="0" w:type="dxa"/>
        <w:tblLayout w:type="fixed"/>
        <w:tblCellMar>
          <w:top w:w="28" w:type="dxa"/>
          <w:left w:w="28" w:type="dxa"/>
          <w:bottom w:w="28" w:type="dxa"/>
          <w:right w:w="28" w:type="dxa"/>
        </w:tblCellMar>
      </w:tblPr>
      <w:tblGrid>
        <w:gridCol w:w="1021"/>
        <w:gridCol w:w="898"/>
        <w:gridCol w:w="900"/>
        <w:gridCol w:w="109"/>
        <w:gridCol w:w="109"/>
        <w:gridCol w:w="211"/>
        <w:gridCol w:w="721"/>
        <w:gridCol w:w="109"/>
        <w:gridCol w:w="211"/>
        <w:gridCol w:w="721"/>
        <w:gridCol w:w="109"/>
        <w:gridCol w:w="109"/>
        <w:gridCol w:w="109"/>
        <w:gridCol w:w="109"/>
        <w:gridCol w:w="211"/>
        <w:gridCol w:w="721"/>
        <w:gridCol w:w="109"/>
        <w:gridCol w:w="211"/>
        <w:gridCol w:w="721"/>
        <w:gridCol w:w="109"/>
        <w:gridCol w:w="211"/>
        <w:gridCol w:w="721"/>
        <w:gridCol w:w="109"/>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2025</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Q4</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Q3</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Q2</w:t>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Q1</w:t>
            </w:r>
          </w:p>
        </w:tc>
      </w:tr>
      <w:tr>
        <w:trPr/>
        <w:tc>
          <w:tcPr>
            <w:tcW w:w="2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Consolidated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Purchase volume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B2B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Arial;sans-serif" w:hAnsi="Arial;sans-serif"/>
                <w:b/>
                <w:color w:val="000000"/>
                <w:sz w:val="18"/>
              </w:rPr>
            </w:pPr>
            <w:r>
              <w:rPr>
                <w:rFonts w:ascii="Arial;sans-serif" w:hAnsi="Arial;sans-serif"/>
                <w:b/>
                <w:color w:val="000000"/>
                <w:sz w:val="18"/>
              </w:rPr>
              <w:t>Consumer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dollar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 deposit active accounts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volume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Money Movement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cash transfers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Number of tax refunds processed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Arial;sans-serif" w:hAnsi="Arial;sans-serif"/>
          <w:b w:val="false"/>
          <w:color w:val="000000"/>
          <w:sz w:val="13"/>
        </w:rPr>
        <w:t xml:space="preserve">* </w:t>
      </w:r>
      <w:r>
        <w:rPr>
          <w:rFonts w:ascii="Arial;sans-serif" w:hAnsi="Arial;sans-serif"/>
          <w:b w:val="false"/>
          <w:color w:val="000000"/>
          <w:sz w:val="18"/>
        </w:rPr>
        <w:t xml:space="preserve">Represents the sum of Green Dot's Consumer Services and B2B (as defined herein) Services segments.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"It was a solid second quarter, coming in modestly ahead of our internal expectations, with several of our divisions generating better-than-expected operating income. Adjusted EBITDA was lower year over year due to the timing of tax revenues and up 5% year to date," said Jess Unruh, Chief Financial Officer of Green Dot. "The returns on our investments to support and drive growth are becoming more evident, and I am equally proud of the team for building a culture of cost containment and efficiency.”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Proposed Transactions with CommerceOne Financial Corporation and Smith Ventures, LLC</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On November 24, 2025, Green Dot announced that it entered into agreements to be acquired by affiliates of Smith Ventures, LLC (“Smith Ventures”) and CommerceOne Financial Corporation (“CommerceOne”). Upon closing of these proposed transactions, Smith Ventures will acquire and privatize Green Dot’s non-bank financial technology business assets and operations (the “FinTech business”), which will continue running as an independent and growth-focused fintech and embedded finance company. Additionally, upon closing of these proposed transactions, CommerceOne will acquire Green Dot Bank and its associated assets and operations, and the combined organization will serve as the FinTech business’s exclusive sponsor bank.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closing of the transactions remains subject to the receipt of required regulatory approvals and the satisfaction of other customary closing conditions. The parties received the required shareholder approvals as well as early termination of the waiting period under the Hart-Scott-Rodino Act, and have filed regulatory applications with all applicable U.S. federal and state bank authorities.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As a result of Green Dot’s proposed transactions with CommerceOne and Smith Ventures, Green Dot will not be hosting an earnings conference call nor providing 2026 financial guidance in conjunction with this earnings release. For further detail and discussion of Green Dot’s financial performance, please refer to the additional materials made available in the Investor Relations section of Green Dot's website at http://ir.greendot.com/ and Green Dot’s Annual Report on Form 10-K for the year ended December 31, 2025 filed with the Securities and Exchange Commission,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Discussion of Segment Results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On a consolidated basis, total operating revenues were $591.3 million for the second quarter of 2026, compared with $501.2 million in the prior-year period, an increase of 18%. Adjusted EBITDA was $40.2 million, compared with $45.4 million in the prior-year period, a decrease of 12%. The decrease reflects higher earnings in the tax processing business in the first quarter of 2026 rather than the second quarter, as it did in the prior year, as well as continued headwinds in the Consumer Services segment. On a year-to-date basis, adjusted EBITDA was $142.6 million, up 5% year-over-year, driven by strong growth in the tax processing business, continued growth in BaaS and improved returns from ongoing optimization of the balance sheet.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Over the last several years, Green Dot has made strategic investments to strengthen its foundation for sustainable growth, and it is beginning to see those efforts pay off in meaningful ways, particularly in the tax and BaaS businesses, and as Green Dot launches new partners and helps existing partners grow. Investments to enhance Green Dot’s platform and improve enterprise operations are intended to position the FinTech business, composed of its Consumer, B2B and Money Movement businesses and related operations, to be a growth-enabled organization following the proposed acquisition by Smith Ventures, and as a valuable partner to Green Dot Bank and CommerceOne for years to come.</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Over the past twelve months, Green Dot added new partnerships across its B2B, Money Movement and Consumer segments. In the second quarter of 2026, Green Dot maintained a strong pipeline of prospective partners that continues to present substantial growth opportunities via fee-based transaction revenues and through deposits that are strategically invested in high-quality, interest-bearing assets. Optimizing balance sheet profitability remained an area of focus, and progress in this area is reflected in its year-to-date results. Green Dot sees additional opportunities to continue strengthening its earnings profile and balance sheet as it enhances its investment mix and grows deposits from its embedded finance offerings, particularly in its BaaS business.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As revenue momentum improved, Green Dot continued making progress in its multi-year efforts to strengthen its operating and regulatory infrastructures and drive improved efficiency. The team remains focused on strengthening its technology platform and simplifying its operations to make Green Dot a more innovative, nimble platform and partner. Green Dot also remains committed to investing in its regulatory infrastructure and believes it is seeing the benefits of that work materialize in its pipelines as prospective partners prioritize compliance and regulatory support when selecting a platform partner.</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B2B Services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Green Dot’s B2B Services segment includes its BaaS division, powered by ARC, its end-to-end embedded finance platform, and its rapid! employer services business. Revenue growth continues to be led by a significant BaaS partner, along with growth across the broader BaaS portfolio. The rest of Green Dot’s BaaS channel, excluding a significant partner, experienced revenue acceleration and the strongest growth in over a year. Active accounts in the BaaS channel continue to increase as Green Dot works with new and existing partners to launch products and drive engagement. Green Dot expects its pipeline of launches and other opportunities to support continued revenue and deposit growth.</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In employer services (rapid!), Green Dot is repositioning the business by aligning the sales force, improving efficiency, lowering expenses, and focusing more on Earned Wage Access (“EWA”), where Green Dot sees meaningful growth potential. Purchase volume in the quarter was flat with last year, the first time in over two years that Green Dot did not experience a decline in this key metric, suggesting these changes are gaining traction. Green Dot has reinvested some cost savings into EWA capabilities, sales support, and integrations with new payroll platforms to pursue additional opportunities. Green Dot remains optimistic about EWA given the sizable market, strong demand and attractive margins.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Overall, B2B segment profit grew year over year, driven by higher demand and activity in BaaS. BaaS margins declined modestly due to its revenue mix, particularly the growth of a significant partner. Margins in Green Dot’s rapid! employer services division declined from the prior year period, primarily due to declines in revenue that modestly outpaced a reduction in operating expenses.</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Money Movement Services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Green Dot’s Money Movement Services segment includes its tax processing and money processing businesses. Revenue declined due in large part to a strong first quarter for the tax business and some revenue shifting from the second quarter to the first quarter as compared to the prior year. Despite the decline in the second quarter, year to date revenue in the tax business is up almost 18%, driven by market share gains and the launch of a significant new franchise partner. Green Dot has invested in its tax operations over time to strengthen its position as a technology and service leader, and the successful launch of this new partner reinforces that. The team has also expanded product availability, especially taxpayer advance programs, which continue to see strong momentum and customer adoption.</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Green Dot’s money processing business returned to revenue growth for the first time in over a year, driven by an increase in third-party transactions that offset headwinds associated with the softness in the Consumer segment’s active base. After a year of declines in its third-party transactions due to the loss of two low-margin customers for its third-party business, this growth reflects the health of the remaining partner base and continued success in adding partners that value the breadth and convenience of its network.</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With money processing and BaaS operations more closely aligned, Green Dot expects to maintain a healthy pipeline of potential partners. Combined with recent cash transfer and digital disbursement launches, a solid schedule of upcoming launches, including Stripe, and moderating declines in the Consumer segment, Green Dot believes the business is well positioned to improve momentum from prior quarters.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Margins in Money Movement Services were affected by profit mix. Both money processing and tax margins remained relatively flat with last year, but a higher percentage of earnings this quarter came from the money processing business which has lower margins. </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Consumer Services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Consumer Services segment continued to face headwinds in retail and from lower marketing spend in its direct business. However, despite pressure on actives and revenue, key metrics such as volume and revenue per active continued to grow in the quarter as a result of improved consumer engagement with features such as overdraft.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Green Dot’s retail channel continues to face pressure as consumers shift to digital banking apps instead of purchasing cards at retail locations. Green Dot has reduced some of that pressure by focusing on Financial Service Centers (“FSCs”), including the mid-2024 launch of PLS Financial Services, which helped moderate declines in actives and revenue. With FSC partners, Green Dot is introducing digital and embedded solutions that align more closely with its BaaS offerings and support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deeper customer relationships. Green Dot is launching several new FSC partners in 2026 that it expects to further offset traditional retail headwinds.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Green Dot is also seeing an increased interest from traditional retail partners in digital and embedded solutions, which Green Dot believes can improve engagement and activity across the retail customer base. As well, Green Dot continues to see improvement in engagement, particularly in its overdraft product, which has helped offset the secular headwinds.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The decline in direct channel revenue was largely driven by declines in active accounts as Green Dot pulled back its marketing in the last two years and focused on returns while investing to modernize the user experience and add new features. Green Dot is nearing the completion of the first phase of this modernization and believes the improved user experience, added functionality, and a more consistent marketing cadence can position the business to return to growth.</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Segment profit and margins declined year-over-year due to lower revenue and revenue mix.</w:t>
      </w:r>
    </w:p>
    <w:p>
      <w:pPr>
        <w:pStyle w:val="TextBody"/>
        <w:bidi w:val="0"/>
        <w:spacing w:lineRule="auto" w:line="288" w:before="120" w:after="120"/>
        <w:jc w:val="both"/>
        <w:rPr>
          <w:rFonts w:ascii="Arial;sans-serif" w:hAnsi="Arial;sans-serif"/>
          <w:b w:val="false"/>
          <w:i/>
          <w:color w:val="000000"/>
          <w:sz w:val="22"/>
          <w:u w:val="single"/>
        </w:rPr>
      </w:pPr>
      <w:r>
        <w:rPr>
          <w:rFonts w:ascii="Arial;sans-serif" w:hAnsi="Arial;sans-serif"/>
          <w:b w:val="false"/>
          <w:i/>
          <w:color w:val="000000"/>
          <w:sz w:val="22"/>
          <w:u w:val="single"/>
        </w:rPr>
        <w:t>Corporate and Other Segment</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Corporate and Other segment revenue, consisting primarily of interest income net of partner interest sharing, experienced solid growth year over year. Rate cuts over the past year improved the spread between what Green Dot earns on cash and investments and what it shares with partners. Green Dot also continued to optimize its balance sheet by repositioning part of the securities portfolio and investing more cash in high-grade, floating-rate securities with higher yields. Corporate expenses increased modestly as Green Dot made selective investments in areas such as compliance and risk management, but corporate expenses as a percentage of revenue declined year over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This earnings release contains statements that constitute “forward-looking statements” within the meaning of, and subject to the protections of, Section 27A of the Securities Act of 1933, as amended, and Section 21E of the Securities Exchange Act of 1934, as amended. All statements other than statements of historical fact are statements that could be deemed to be forward-looking statements. These forward-looking statements include, but are not limited to, certain plans, expectations, goals, projections, and statements about the benefits or costs of the proposed transactions, the plans, objectives, expectations and intentions of Green Dot, CommerceOne, and affiliates of Smith Ventures, including future financial and operating results (including the anticipated impact of the proposed transactions), statements related to the expected timing of the completion of the proposed transactions, the plans, objectives, expectations and intentions of Compass Sub North, Inc., a newly formed Delaware corporation and a direct, wholly-owned subsidiary of CommerceOne (to be renamed “CommerceOne Financial Corporation” as part of the proposed transactions), following the consummation of the proposed transactions (the “combined company” or “New CommerceOne”) described herein, and other statements that are not historical facts. You can identify these forward-looking statements through the use of words such as “expects,” “anticipates,” “targets,” “goals,” “projects,” “predicts,” “forecasts,” “intends,” “plans,” “believes,” “seeks,” “estimates,” “continues,” “endeavors,” “strives,” “may” and “assumes,” variations of such words and similar expressions of the future or otherwise regarding the outlook for Green Dot’s, CommerceOne’s or the combined company’s future businesses and financial performance and/or the performance of the banking industry and economy in general.</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Prospective investors are cautioned that any such forward-looking statements are not guarantees of future performance and involve known and unknown risks and uncertainties which may cause the actual results, performance or achievements of Green Dot, CommerceOne or the combined company to be materially different from the future results, performance or achievements expressed or implied by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 xml:space="preserve">such forward-looking statements. Forward-looking statements are based on the information known to, and current beliefs and expectations of, Green Dot or CommerceOne and are subject to significant risks and uncertainties. Actual results may differ materially from those contemplated by such forward-looking statements. A number of factors could cause actual results to differ materially from those contemplated by the forward-looking statements in this communication. Many of these factors are beyond Green Dot’s, CommerceOne’s or the combined company’s ability to control or predict, and there is no assurance that any list of risks and uncertainties or risk factors is complete. These factors include, among others, (1) the risk that the cost savings and synergies from the proposed transaction may not be fully realized or may take longer than anticipated to be realized, (2) disruption to Green Dot’s business and to CommerceOne’s business as a result of the announcement and pendency of the proposed transaction, (3) the risk that the integration of Green Dot’s and CommerceOne’s respective businesses and operations, or the separation of Green Dot’s non-bank fintech businesses from Green Dot Bank, will be materially delayed or will be more costly or difficult than expected, including as a result of unexpected factors or events, (4) the failure to satisfy the conditions to the closing of the transactions among Green Dot, CommerceOne and Smith Ventures, (5) the amount of the costs, fees, expenses and charges related to the transactions, (6) the ability by each of Green Dot, CommerceOne and Smith Ventures to obtain required governmental approvals of the proposed transactions on the timeline expected, or at all, and the risk that such approvals may result in the imposition of conditions that could adversely affect the combined company after the closing of the proposed transaction or adversely affect the expected benefits of the proposed transactions, (7) reputational risk and the reaction of Green Dot’s or CommerceOne’s customers, suppliers, employees or other business partners to the proposed transactions, (8) challenges retaining or hiring key personnel following the proposed transactions, (9) any unexpected delay in closing the proposed transactions or the occurrence of any event, change or other circumstances that could give rise to the termination of the Merger Agreement or Separation Agreement, (10) the dilution caused by the issuance of shares of the combined company’s common stock in the transaction, (11) the possibility that the proposed transactions may be more expensive to complete than anticipated, including as a result of unexpected factors or events, (12) risks related to management and oversight of the business and operations of the combined company and the separation of Green Dot’s non-bank fintech business from Green Dot Bank and the combined company, (13) the possibility the combined company is subject to additional regulatory requirements or consent orders as a result of the proposed transactions, (14) the outcome of any legal or regulatory proceedings or governmental inquiries or investigations that may be currently pending or later instituted against Green Dot, CommerceOne or the combined company, and (15) general competitive, economic, political, regulatory and market conditions and other factors that may affect future results of Green Dot, CommerceOne and the combined company, including changes in asset quality and credit risk; the inability to sustain or achieve revenue and earnings growth; changes in interest rates and capital markets; inflation; customer borrowing, repayment, investment and deposit practices; the ability to raise or maintain liquidity, funding, and capital; the impact, extent and timing of technological changes; capital management activities; fraudulent or other illegal activity involving the products and services of Green Dot, CommerceOne or the combined company; cybersecurity risks, including cyber-attacks or security breaches; fluctuations in operating results; changes in legislation, regulation, policies or administrative practices and the ability to comply with such changes in a timely manner; and changes in the monetary and fiscal policies of the U.S. Government. Additional factors which could affect future results of Green Dot can be found in Green Dot’s filings with the Securities and Exchange Commission, including in Green Dot’s Annual Report on Form 10-K for the year ended December 31, 2025, as amended, under the captions “Forward-Looking Statements” and “Risk Factors,” and Green Dot’s Quarterly Reports on Form 10-Q and Current Reports on Form 8-K. Undue reliance should not be placed on any forward-looking statements, which are based on current expectations and speak only as of the date that they are made. Green Dot, CommerceOne and Smith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Ventures do not assume any obligation to update any forward-looking statements as a result of new information, future developments or otherwise, except as otherwise may be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Arial;sans-serif" w:hAnsi="Arial;sans-serif"/>
          <w:b/>
          <w:color w:val="000000"/>
          <w:sz w:val="24"/>
        </w:rPr>
      </w:pPr>
      <w:r>
        <w:rPr>
          <w:rFonts w:ascii="Arial;sans-serif" w:hAnsi="Arial;sans-serif"/>
          <w:b/>
          <w:color w:val="000000"/>
          <w:sz w:val="24"/>
        </w:rPr>
        <w:t>About Non-GAAP Financial Measures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To supplement Green Dot's consolidated financial statements presented in accordance with accounting principles generally accepted in the United States of America (GAAP), Green Dot uses measures of operating results that are adjusted for, among other things, non-operating net interest income and expense; other non-interest investment income earned by its bank; income tax benefit and expense; depreciation and amortization, including amortization of acquired intangibles; certain legal settlement gains and charges; stock-based compensation and related employer payroll taxes; changes in the fair value of contingent consideration; transaction costs from acquisitions or divestitures; amortization attributable to deferred financing costs; impairment charges; extraordinary severance expenses; earnings or losses from equity method investments; changes in the fair value of loans held for sale; commissions and certain processing-related costs associated with embedded finance products and services where Green Dot does not control customer acquisition; realized gains and losses on available-for-sale investment securities; restructuring and other charges; other charges and income not reflective of ongoing operating results; and income tax effects. This earnings release includes non-GAAP total operating revenues, adjusted EBITDA, non-GAAP net income, and non-GAAP diluted earnings per share. These non-GAAP financial measures are not calculated or presented in accordance with, and are not alternatives or substitutes for, financial measures prepared in accordance with GAAP, and should be read only in conjunction with Green Dot's financial measures prepared in accordance with GAAP. Green Dot's non-GAAP financial measures may be different from similarly-titled non-GAAP financial measures used by other companies. Green Dot believes that the presentation of non-GAAP financial measures provides useful information to management and investors regarding underlying trends in its consolidated financial condition and results of operations. Green Dot's management regularly uses these supplemental non-GAAP financial measures internally to understand, manage and evaluate Green Dot's business and make operating decisions. For additional information regarding Green Dot's use of non-GAAP financial measures and the items excluded by Green Dot from one or more of its historic non-GAAP financial measures, investors are encouraged to review the reconciliations of Green Dot's historic non-GAAP financial measures to the comparable GAAP financial measures, which are attached to this earnings release, and which can be found by clicking on “Financial Information” in the Investor Relations section of Green Dot's website at http://ir.greendot.com/.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both"/>
        <w:rPr>
          <w:rFonts w:ascii="Arial;sans-serif" w:hAnsi="Arial;sans-serif"/>
          <w:b/>
          <w:color w:val="000000"/>
          <w:sz w:val="24"/>
        </w:rPr>
      </w:pPr>
      <w:r>
        <w:rPr>
          <w:rFonts w:ascii="Arial;sans-serif" w:hAnsi="Arial;sans-serif"/>
          <w:b/>
          <w:color w:val="000000"/>
          <w:sz w:val="24"/>
        </w:rPr>
        <w:t>About Green Dot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Green Dot Corporation (NYSE: GDOT) is a financial technology platform and registered bank holding company that builds banking and payment solutions to create value, retain and reward customers, and accelerate growth for businesses of all sizes. For more than two decades, Green Dot has delivered financial tools and services that address the most pressing financial needs of consumers and businesses, and that transform the way people and businesses manage and move money.</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2"/>
        </w:rPr>
      </w:pPr>
      <w:r>
        <w:rPr>
          <w:rFonts w:ascii="Arial;sans-serif" w:hAnsi="Arial;sans-serif"/>
          <w:b w:val="false"/>
          <w:color w:val="000000"/>
          <w:sz w:val="22"/>
        </w:rPr>
        <w:t xml:space="preserve">Green Dot delivers a broad spectrum of financial products to consumers and businesses through its portfolio of brands, including: GO2bank, a leading digital and mobile bank account offering simple, secure and useful banking for Americans living paycheck to paycheck; the Green Dot Network (“GDN”) of more than 90,000 retail distribution and cash access locations nationwide; Arc by Green Dot, the single-source embedded finance platform combining all of Green Dot’s secure banking and money processing capabilities to power businesses at all stages of growth; rapid! wage and disbursements solutions, providing pay card and earned wage access services to more than 7,000 businesses and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their employees; and Santa Barbara TPG (“SBTPG”), the company’s tax division, which processes on average approximately 13 million tax refunds annually.</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Founded in 1999, Green Dot has managed more than 80 million accounts to date both directly and through its partners. Green Dot Bank is a subsidiary of Green Dot Corporation and member of the FDIC. For more information about Green Dot’s products and services, please visit www.greendot.com.</w:t>
      </w:r>
    </w:p>
    <w:p>
      <w:pPr>
        <w:pStyle w:val="TextBody"/>
        <w:bidi w:val="0"/>
        <w:spacing w:before="0" w:after="0"/>
        <w:jc w:val="left"/>
        <w:rPr/>
      </w:pPr>
      <w:r>
        <w:rPr/>
      </w:r>
    </w:p>
    <w:p>
      <w:pPr>
        <w:pStyle w:val="TextBody"/>
        <w:bidi w:val="0"/>
        <w:spacing w:lineRule="auto" w:line="288" w:before="0" w:after="120"/>
        <w:jc w:val="both"/>
        <w:rPr>
          <w:rFonts w:ascii="Arial;sans-serif" w:hAnsi="Arial;sans-serif"/>
          <w:b/>
          <w:color w:val="000000"/>
          <w:sz w:val="22"/>
        </w:rPr>
      </w:pPr>
      <w:r>
        <w:rPr>
          <w:rFonts w:ascii="Arial;sans-serif" w:hAnsi="Arial;sans-serif"/>
          <w:b/>
          <w:color w:val="000000"/>
          <w:sz w:val="22"/>
        </w:rPr>
        <w:t>Contacts</w:t>
      </w:r>
    </w:p>
    <w:p>
      <w:pPr>
        <w:pStyle w:val="TextBody"/>
        <w:bidi w:val="0"/>
        <w:spacing w:lineRule="auto" w:line="288" w:before="0" w:after="120"/>
        <w:jc w:val="both"/>
        <w:rPr>
          <w:rFonts w:ascii="Arial;sans-serif" w:hAnsi="Arial;sans-serif"/>
          <w:b/>
          <w:color w:val="000000"/>
          <w:sz w:val="22"/>
        </w:rPr>
      </w:pPr>
      <w:r>
        <w:rPr>
          <w:rFonts w:ascii="Arial;sans-serif" w:hAnsi="Arial;sans-serif"/>
          <w:b/>
          <w:color w:val="000000"/>
          <w:sz w:val="22"/>
        </w:rPr>
        <w:t xml:space="preserve">Investor Relations: </w:t>
      </w:r>
    </w:p>
    <w:p>
      <w:pPr>
        <w:pStyle w:val="TextBody"/>
        <w:bidi w:val="0"/>
        <w:spacing w:lineRule="auto" w:line="288" w:before="120" w:after="120"/>
        <w:jc w:val="both"/>
        <w:rPr>
          <w:rFonts w:ascii="Arial;sans-serif" w:hAnsi="Arial;sans-serif"/>
          <w:b w:val="false"/>
          <w:color w:val="000000"/>
          <w:sz w:val="22"/>
        </w:rPr>
      </w:pPr>
      <w:r>
        <w:rPr>
          <w:rFonts w:ascii="Arial;sans-serif" w:hAnsi="Arial;sans-serif"/>
          <w:b w:val="false"/>
          <w:color w:val="000000"/>
          <w:sz w:val="22"/>
        </w:rPr>
        <w:t>IR@greendot.com</w:t>
      </w:r>
    </w:p>
    <w:p>
      <w:pPr>
        <w:pStyle w:val="TextBody"/>
        <w:bidi w:val="0"/>
        <w:spacing w:lineRule="auto" w:line="288" w:before="300" w:after="180"/>
        <w:jc w:val="both"/>
        <w:rPr>
          <w:rFonts w:ascii="Arial;sans-serif" w:hAnsi="Arial;sans-serif"/>
          <w:b/>
          <w:color w:val="000000"/>
          <w:sz w:val="22"/>
        </w:rPr>
      </w:pPr>
      <w:r>
        <w:rPr>
          <w:rFonts w:ascii="Arial;sans-serif" w:hAnsi="Arial;sans-serif"/>
          <w:b/>
          <w:color w:val="000000"/>
          <w:sz w:val="22"/>
        </w:rPr>
        <w:t xml:space="preserve">Media Relations: </w:t>
      </w:r>
    </w:p>
    <w:p>
      <w:pPr>
        <w:pStyle w:val="TextBody"/>
        <w:bidi w:val="0"/>
        <w:spacing w:lineRule="auto" w:line="288" w:before="120" w:after="283"/>
        <w:jc w:val="both"/>
        <w:rPr>
          <w:rFonts w:ascii="Arial;sans-serif" w:hAnsi="Arial;sans-serif"/>
          <w:b w:val="false"/>
          <w:color w:val="000000"/>
          <w:sz w:val="22"/>
        </w:rPr>
      </w:pPr>
      <w:r>
        <w:rPr>
          <w:rFonts w:ascii="Arial;sans-serif" w:hAnsi="Arial;sans-serif"/>
          <w:b w:val="false"/>
          <w:color w:val="000000"/>
          <w:sz w:val="22"/>
        </w:rPr>
        <w:t>Alison Lubert</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SVP, Head of Corporate Communications</w:t>
      </w:r>
    </w:p>
    <w:p>
      <w:pPr>
        <w:pStyle w:val="TextBody"/>
        <w:bidi w:val="0"/>
        <w:spacing w:lineRule="auto" w:line="288" w:before="0" w:after="0"/>
        <w:jc w:val="both"/>
        <w:rPr>
          <w:rFonts w:ascii="Arial;sans-serif" w:hAnsi="Arial;sans-serif"/>
          <w:b w:val="false"/>
          <w:color w:val="000000"/>
          <w:sz w:val="22"/>
        </w:rPr>
      </w:pPr>
      <w:r>
        <w:rPr>
          <w:rFonts w:ascii="Arial;sans-serif" w:hAnsi="Arial;sans-serif"/>
          <w:b w:val="false"/>
          <w:color w:val="000000"/>
          <w:sz w:val="22"/>
        </w:rPr>
        <w:t>alubert@greendotcorp.com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BALANCE SHEETS</w:t>
      </w:r>
    </w:p>
    <w:tbl>
      <w:tblPr>
        <w:tblW w:w="10205" w:type="dxa"/>
        <w:jc w:val="center"/>
        <w:tblInd w:w="0" w:type="dxa"/>
        <w:tblLayout w:type="fixed"/>
        <w:tblCellMar>
          <w:top w:w="28" w:type="dxa"/>
          <w:left w:w="28" w:type="dxa"/>
          <w:bottom w:w="28" w:type="dxa"/>
          <w:right w:w="28" w:type="dxa"/>
        </w:tblCellMar>
      </w:tblPr>
      <w:tblGrid>
        <w:gridCol w:w="2844"/>
        <w:gridCol w:w="2254"/>
        <w:gridCol w:w="2210"/>
        <w:gridCol w:w="196"/>
        <w:gridCol w:w="886"/>
        <w:gridCol w:w="109"/>
        <w:gridCol w:w="109"/>
        <w:gridCol w:w="109"/>
        <w:gridCol w:w="109"/>
        <w:gridCol w:w="221"/>
        <w:gridCol w:w="982"/>
        <w:gridCol w:w="176"/>
      </w:tblGrid>
      <w:tr>
        <w:trPr/>
        <w:tc>
          <w:tcPr>
            <w:tcW w:w="2844"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December 31, 2025</w:t>
            </w:r>
          </w:p>
        </w:tc>
      </w:tr>
      <w:tr>
        <w:trPr/>
        <w:tc>
          <w:tcPr>
            <w:tcW w:w="7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Assets</w:t>
            </w:r>
          </w:p>
        </w:tc>
        <w:tc>
          <w:tcPr>
            <w:tcW w:w="28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par value)</w:t>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assets: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1,143,395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1,421,690 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970,363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947,497 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137,754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197,248 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63,946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73,275 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assets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2,317,120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2,640,343 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securities available-for-sale, at fair value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3,033,341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2,467,843 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Loans to bank customers, net of allowance for credit losses of $38,005 and $21,053 as of June 30, 2026 and December 31, 2025, respectively</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44,252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55,700 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151,482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154,567 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equipment, and internal-use software,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200,197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right-of-use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deferred tax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80,663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Goodwill and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363,342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374,401 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6,192,055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Liabilities and Stockholders’ Equity</w:t>
            </w:r>
          </w:p>
        </w:tc>
        <w:tc>
          <w:tcPr>
            <w:tcW w:w="119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Current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59,042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114,714 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Deposits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4,640,329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4,416,294 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Obligations to customers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286,709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284,978 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52,916 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153,752 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current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5,187,367</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5,029,569 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lease liabilities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Notes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63,739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63,541 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5,252,654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5,094,991 </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Stockholders’ equity:</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Class A common stock, $0.001 par value; 100,000 shares authorized as of June 30, 2026 and December 31, 2025; 56,985 and 55,565 shares issued and outstanding as of June 30, 2026 and December 31, 2025, respectively</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Additional paid-in capital</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430,971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696,402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644,736 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loss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(188,029)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(182,024)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stockholders’ equity</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939,401</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890,245 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stockholders’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6,192,055</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5,985,236 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OPERATIONS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92"/>
        <w:gridCol w:w="1577"/>
        <w:gridCol w:w="1584"/>
        <w:gridCol w:w="197"/>
        <w:gridCol w:w="761"/>
        <w:gridCol w:w="109"/>
        <w:gridCol w:w="109"/>
        <w:gridCol w:w="109"/>
        <w:gridCol w:w="109"/>
        <w:gridCol w:w="197"/>
        <w:gridCol w:w="746"/>
        <w:gridCol w:w="109"/>
        <w:gridCol w:w="109"/>
        <w:gridCol w:w="109"/>
        <w:gridCol w:w="109"/>
        <w:gridCol w:w="196"/>
        <w:gridCol w:w="751"/>
        <w:gridCol w:w="109"/>
        <w:gridCol w:w="109"/>
        <w:gridCol w:w="109"/>
        <w:gridCol w:w="109"/>
        <w:gridCol w:w="196"/>
        <w:gridCol w:w="736"/>
        <w:gridCol w:w="164"/>
      </w:tblGrid>
      <w:tr>
        <w:trPr/>
        <w:tc>
          <w:tcPr>
            <w:tcW w:w="179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revenues: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Card revenues and other fees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476,904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381,224 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925,579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processing revenues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53,303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189,674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167,857 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Interchange revenues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44,186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88,145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94,886 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income,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21,490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48,732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43,130 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9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expenses: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marketing expenses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49,359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108,672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109,847 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Compensation and benefits expenses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59,003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118,774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130,061 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Processing expenses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394,692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769,286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578,530 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general and administrative expenses</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93,494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186,943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170,468 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expenses</w:t>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596,644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490,777 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1,183,853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988,906 </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income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(100,395)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95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65,284</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(29,268)</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(8,016)</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(loss) earnings per common share:</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(loss) earnings per common share</w:t>
            </w:r>
          </w:p>
        </w:tc>
        <w:tc>
          <w:tcPr>
            <w:tcW w:w="1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6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Basic weighted-average common shares issued and outstanding:</w:t>
            </w:r>
          </w:p>
        </w:tc>
        <w:tc>
          <w:tcPr>
            <w:tcW w:w="95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56,257</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6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9983" w:type="dxa"/>
        <w:jc w:val="center"/>
        <w:tblInd w:w="0" w:type="dxa"/>
        <w:tblLayout w:type="fixed"/>
        <w:tblCellMar>
          <w:top w:w="28" w:type="dxa"/>
          <w:left w:w="28" w:type="dxa"/>
          <w:bottom w:w="28" w:type="dxa"/>
          <w:right w:w="28" w:type="dxa"/>
        </w:tblCellMar>
      </w:tblPr>
      <w:tblGrid>
        <w:gridCol w:w="2625"/>
        <w:gridCol w:w="2303"/>
        <w:gridCol w:w="2316"/>
        <w:gridCol w:w="196"/>
        <w:gridCol w:w="886"/>
        <w:gridCol w:w="109"/>
        <w:gridCol w:w="109"/>
        <w:gridCol w:w="109"/>
        <w:gridCol w:w="109"/>
        <w:gridCol w:w="196"/>
        <w:gridCol w:w="871"/>
        <w:gridCol w:w="154"/>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7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Operating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 (loss)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Adjustments to reconcile net income (loss) to net cash provided by operating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intangible assets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uncollectible overdrawn accounts from purchase transactions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Provision for loan losses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23,765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7,826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premium and discount on available-for-sale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of long-lived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Changes in operating assets and liabilities: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receivable,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54,684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22,328 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Prepaid expenses and other assets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11,673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expenses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and other accrued liabilities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revenue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receivable/payable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net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operating activities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194,685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177,701 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Investing activities</w:t>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available-for-sale investment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(671,567)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(274,820)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maturities of available-for-sale securities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95,929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103,283 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calls of available-for-sale securities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730,447 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Payments for property, equipment and internal-use software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(38,878)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loans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(17,413)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investing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(used in) provided by investing activities</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(627,790)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501,664 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Financing activities</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Borrowings on notes payable</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ESPP purchases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Taxes paid related to net share settlement of equity awards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deposits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185,569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changes in settlement assets and obligations to customers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(26,441)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(59,978)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financing activities</w:t>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154,797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40,762 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(decrease) increase in unrestricted cash, cash equivalents and restricted cash</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(278,308)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720,127 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beginning of period</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1,421,734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1,592,435 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cash equivalents and restricted cash,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1,143,426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2,312,562 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8,337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paid for income taxes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Reconciliation of unrestricted cash, cash equivalents and restricted cash at end of period:</w:t>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Unrestricted 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1,143,395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cash</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unrestricted cash, cash equivalents and restricted cash, end of period</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1,143,426</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2,312,562 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REPORTABLE SEGMENTS (UNAUDITED)</w:t>
      </w:r>
    </w:p>
    <w:tbl>
      <w:tblPr>
        <w:tblW w:w="10185" w:type="dxa"/>
        <w:jc w:val="center"/>
        <w:tblInd w:w="0" w:type="dxa"/>
        <w:tblLayout w:type="fixed"/>
        <w:tblCellMar>
          <w:top w:w="28" w:type="dxa"/>
          <w:left w:w="28" w:type="dxa"/>
          <w:bottom w:w="28" w:type="dxa"/>
          <w:right w:w="28" w:type="dxa"/>
        </w:tblCellMar>
      </w:tblPr>
      <w:tblGrid>
        <w:gridCol w:w="1688"/>
        <w:gridCol w:w="1487"/>
        <w:gridCol w:w="1489"/>
        <w:gridCol w:w="198"/>
        <w:gridCol w:w="762"/>
        <w:gridCol w:w="110"/>
        <w:gridCol w:w="110"/>
        <w:gridCol w:w="110"/>
        <w:gridCol w:w="110"/>
        <w:gridCol w:w="198"/>
        <w:gridCol w:w="747"/>
        <w:gridCol w:w="110"/>
        <w:gridCol w:w="109"/>
        <w:gridCol w:w="109"/>
        <w:gridCol w:w="109"/>
        <w:gridCol w:w="196"/>
        <w:gridCol w:w="886"/>
        <w:gridCol w:w="109"/>
        <w:gridCol w:w="109"/>
        <w:gridCol w:w="109"/>
        <w:gridCol w:w="109"/>
        <w:gridCol w:w="196"/>
        <w:gridCol w:w="871"/>
        <w:gridCol w:w="154"/>
      </w:tblGrid>
      <w:tr>
        <w:trPr/>
        <w:tc>
          <w:tcPr>
            <w:tcW w:w="1688"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Revenue</w:t>
            </w:r>
          </w:p>
        </w:tc>
        <w:tc>
          <w:tcPr>
            <w:tcW w:w="5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B2B Services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448,435</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348,650 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865,977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Services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84,752</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93,099 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171,233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188,355 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Movement Services</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46,889</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50,848 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177,594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161,095 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11,209</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8,567 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28,513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revenues</w:t>
            </w:r>
          </w:p>
        </w:tc>
        <w:tc>
          <w:tcPr>
            <w:tcW w:w="9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591,285</w:t>
            </w:r>
            <w:r>
              <w:rPr>
                <w:color w:val="000000"/>
              </w:rPr>
              <w:t>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501,164 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1,243,317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1,057,128 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Embedded finance commissions and processing expenses (9)</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6,180</w:t>
            </w: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11,992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(10)</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(1,582)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78"/>
        <w:gridCol w:w="1606"/>
        <w:gridCol w:w="1613"/>
        <w:gridCol w:w="206"/>
        <w:gridCol w:w="694"/>
        <w:gridCol w:w="114"/>
        <w:gridCol w:w="114"/>
        <w:gridCol w:w="114"/>
        <w:gridCol w:w="114"/>
        <w:gridCol w:w="206"/>
        <w:gridCol w:w="748"/>
        <w:gridCol w:w="114"/>
        <w:gridCol w:w="109"/>
        <w:gridCol w:w="109"/>
        <w:gridCol w:w="109"/>
        <w:gridCol w:w="196"/>
        <w:gridCol w:w="661"/>
        <w:gridCol w:w="109"/>
        <w:gridCol w:w="109"/>
        <w:gridCol w:w="109"/>
        <w:gridCol w:w="109"/>
        <w:gridCol w:w="196"/>
        <w:gridCol w:w="711"/>
        <w:gridCol w:w="157"/>
      </w:tblGrid>
      <w:tr>
        <w:trPr/>
        <w:tc>
          <w:tcPr>
            <w:tcW w:w="1878"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5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5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Segment Profit</w:t>
            </w:r>
          </w:p>
        </w:tc>
        <w:tc>
          <w:tcPr>
            <w:tcW w:w="51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B2B Services</w:t>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32,439</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27,980 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61,134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55,132 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Consumer Services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25,829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66,726 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Money Movement Services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30,155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34,112 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118,599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110,938 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and Other</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(48,247)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(49,761)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(88,419)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(96,812)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segment profit *</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40,176</w:t>
            </w:r>
            <w:r>
              <w:rPr>
                <w:color w:val="000000"/>
              </w:rPr>
              <w:t>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142,616</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135,984 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Reconciliation to (loss) income before income taxes</w:t>
            </w:r>
          </w:p>
        </w:tc>
        <w:tc>
          <w:tcPr>
            <w:tcW w:w="1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18,665</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 based compensation and related employer taxes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3,423</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5,131</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related expenses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6,322</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4,864</w:t>
            </w: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1,720</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Operating (loss) income</w:t>
            </w:r>
          </w:p>
        </w:tc>
        <w:tc>
          <w:tcPr>
            <w:tcW w:w="9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(761)</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13,399 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68,277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74,144 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(expense) income, net</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(74,691)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(100,395)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 income before income taxes</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(2,355)</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(62,923)</w:t>
            </w:r>
          </w:p>
        </w:tc>
        <w:tc>
          <w:tcPr>
            <w:tcW w:w="1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65,284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(29,268)</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6"/>
        </w:rPr>
      </w:pPr>
      <w:r>
        <w:rPr>
          <w:rFonts w:ascii="Arial;sans-serif" w:hAnsi="Arial;sans-serif"/>
          <w:b w:val="false"/>
          <w:color w:val="000000"/>
          <w:sz w:val="16"/>
        </w:rPr>
        <w:t>* Total segment profit is also referred to herein as adjusted EBITDA in its non-GAAP measures. Additional information about Green Dot's non-GAAP financial measures can be found under the caption “About Non-GAAP Financial Measures."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Green Dot's segment reporting is based on how its Chief Operating Decision Maker (“CODM”) manages its businesses, including resource allocation and performance assessment. Its CODM (who is the Chief Executive Officer) organizes and manages the businesses primarily on the basis of the channels in which its products and services are offered and uses net revenue and segment profit to assess profitability. Segment profit reflects each segment's net revenue less direct costs, such as sales and marketing expenses, processing expenses, transaction losses and fraud management, and customer support and related expenses. Green Dot’s operations are aggregated amongst three reportable segments: 1) Business to Business ("B2B") Services, 2) Consumer Services and 3) Money Movement Services.</w:t>
      </w:r>
    </w:p>
    <w:p>
      <w:pPr>
        <w:pStyle w:val="TextBody"/>
        <w:bidi w:val="0"/>
        <w:spacing w:lineRule="auto" w:line="288" w:before="120" w:after="120"/>
        <w:ind w:left="0" w:right="0" w:firstLine="360"/>
        <w:jc w:val="both"/>
        <w:rPr>
          <w:rFonts w:ascii="Arial;sans-serif" w:hAnsi="Arial;sans-serif"/>
          <w:b w:val="false"/>
          <w:color w:val="000000"/>
          <w:sz w:val="20"/>
        </w:rPr>
      </w:pPr>
      <w:r>
        <w:rPr>
          <w:rFonts w:ascii="Arial;sans-serif" w:hAnsi="Arial;sans-serif"/>
          <w:b w:val="false"/>
          <w:color w:val="000000"/>
          <w:sz w:val="20"/>
        </w:rPr>
        <w:t>The Corporate and Other segment primarily consists of net interest income, certain other investment income earned by Green Dot's bank, interest profit sharing arrangements with certain BaaS partners (a reduction of revenue), eliminations of inter-segment revenues and expenses, and unallocated corporate expenses, which include Green Dot's fixed expenses, such as salaries, wages and related benefits for its employees and certain third-party contractors, professional services fees, software licenses, telephone and communication costs, rent, utilities, and insurance that are not considered when Green Dot's CODM evaluates segment performance. Non-cash expenses such as stock-based compensation, depreciation and amortization of long-lived assets, impairment charges and other non-recurring expenses that are not considered by Green Dot's CODM when it is evaluating overall consolidated financial results are excluded from its unallocated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pPr>
      <w:r>
        <w:rPr>
          <w:rFonts w:ascii="Arial;sans-serif" w:hAnsi="Arial;sans-serif"/>
          <w:b/>
          <w:color w:val="000000"/>
          <w:sz w:val="20"/>
        </w:rPr>
        <w:t xml:space="preserve">Reconciliation of Total Operating Revenues to Non-GAAP Total Operating Revenues </w:t>
      </w:r>
      <w:r>
        <w:rPr>
          <w:rFonts w:ascii="Arial;sans-serif" w:hAnsi="Arial;sans-serif"/>
          <w:b/>
          <w:color w:val="000000"/>
          <w:sz w:val="13"/>
        </w:rPr>
        <w:t>(1)</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185" w:type="dxa"/>
        <w:jc w:val="center"/>
        <w:tblInd w:w="0" w:type="dxa"/>
        <w:tblLayout w:type="fixed"/>
        <w:tblCellMar>
          <w:top w:w="28" w:type="dxa"/>
          <w:left w:w="28" w:type="dxa"/>
          <w:bottom w:w="28" w:type="dxa"/>
          <w:right w:w="28" w:type="dxa"/>
        </w:tblCellMar>
      </w:tblPr>
      <w:tblGrid>
        <w:gridCol w:w="1691"/>
        <w:gridCol w:w="1483"/>
        <w:gridCol w:w="1490"/>
        <w:gridCol w:w="198"/>
        <w:gridCol w:w="762"/>
        <w:gridCol w:w="110"/>
        <w:gridCol w:w="110"/>
        <w:gridCol w:w="110"/>
        <w:gridCol w:w="110"/>
        <w:gridCol w:w="198"/>
        <w:gridCol w:w="747"/>
        <w:gridCol w:w="110"/>
        <w:gridCol w:w="109"/>
        <w:gridCol w:w="109"/>
        <w:gridCol w:w="109"/>
        <w:gridCol w:w="196"/>
        <w:gridCol w:w="886"/>
        <w:gridCol w:w="109"/>
        <w:gridCol w:w="109"/>
        <w:gridCol w:w="109"/>
        <w:gridCol w:w="109"/>
        <w:gridCol w:w="196"/>
        <w:gridCol w:w="871"/>
        <w:gridCol w:w="154"/>
      </w:tblGrid>
      <w:tr>
        <w:trPr/>
        <w:tc>
          <w:tcPr>
            <w:tcW w:w="169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operating revenues</w:t>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595,883</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504,176 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1,252,130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1,063,050 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Embedded finance commissions and processing expenses (9)</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(6,180)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(11,992)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(10)</w:t>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1,582</w:t>
            </w: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total operating revenues</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591,285</w:t>
            </w:r>
            <w:r>
              <w:rPr>
                <w:color w:val="000000"/>
              </w:rPr>
              <w:t>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501,164 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1,243,317</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1,057,128 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 xml:space="preserve">Reconciliation of Net (Loss) Income to Non-GAAP Net Income </w:t>
      </w:r>
      <w:r>
        <w:rPr>
          <w:rFonts w:ascii="Arial;sans-serif" w:hAnsi="Arial;sans-serif"/>
          <w:b/>
          <w:color w:val="000000"/>
          <w:sz w:val="13"/>
        </w:rPr>
        <w:t>(1)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068" w:type="dxa"/>
        <w:jc w:val="center"/>
        <w:tblInd w:w="0" w:type="dxa"/>
        <w:tblLayout w:type="fixed"/>
        <w:tblCellMar>
          <w:top w:w="28" w:type="dxa"/>
          <w:left w:w="28" w:type="dxa"/>
          <w:bottom w:w="28" w:type="dxa"/>
          <w:right w:w="28" w:type="dxa"/>
        </w:tblCellMar>
      </w:tblPr>
      <w:tblGrid>
        <w:gridCol w:w="1783"/>
        <w:gridCol w:w="1563"/>
        <w:gridCol w:w="1574"/>
        <w:gridCol w:w="208"/>
        <w:gridCol w:w="701"/>
        <w:gridCol w:w="115"/>
        <w:gridCol w:w="115"/>
        <w:gridCol w:w="115"/>
        <w:gridCol w:w="115"/>
        <w:gridCol w:w="208"/>
        <w:gridCol w:w="765"/>
        <w:gridCol w:w="115"/>
        <w:gridCol w:w="109"/>
        <w:gridCol w:w="109"/>
        <w:gridCol w:w="109"/>
        <w:gridCol w:w="196"/>
        <w:gridCol w:w="661"/>
        <w:gridCol w:w="109"/>
        <w:gridCol w:w="109"/>
        <w:gridCol w:w="109"/>
        <w:gridCol w:w="109"/>
        <w:gridCol w:w="196"/>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 except per share data)</w:t>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and related employer payroll taxes (3)</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3,423</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 (4)</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5,131</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 (4)</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4,864</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deferred financing costs (5)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160</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(5)</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related expenses (5)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6,322</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 (5)</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1,677</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loans held for sale (5)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 (5)</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Extraordinary severance expenses (6)</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 (7)</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 (5)</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effect (8)</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(5,446)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net income</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14,912</w:t>
            </w:r>
            <w:r>
              <w:rPr>
                <w:color w:val="000000"/>
              </w:rPr>
              <w:t>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22,238 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79,882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80,645 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(loss) earnings per common share</w:t>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(0.04)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0.26</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common shares issued and outstanding</w:t>
            </w:r>
          </w:p>
        </w:tc>
        <w:tc>
          <w:tcPr>
            <w:tcW w:w="10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GAAP</w:t>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w:t>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58,011</w:t>
            </w: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Reconciliation of GAAP to Non-GAAP Diluted Weighted-Average</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Shares Issued and Outstanding</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67"/>
        <w:gridCol w:w="1463"/>
        <w:gridCol w:w="1466"/>
        <w:gridCol w:w="459"/>
        <w:gridCol w:w="263"/>
        <w:gridCol w:w="251"/>
        <w:gridCol w:w="251"/>
        <w:gridCol w:w="251"/>
        <w:gridCol w:w="251"/>
        <w:gridCol w:w="448"/>
        <w:gridCol w:w="263"/>
        <w:gridCol w:w="251"/>
        <w:gridCol w:w="109"/>
        <w:gridCol w:w="109"/>
        <w:gridCol w:w="109"/>
        <w:gridCol w:w="449"/>
        <w:gridCol w:w="238"/>
        <w:gridCol w:w="225"/>
        <w:gridCol w:w="225"/>
        <w:gridCol w:w="225"/>
        <w:gridCol w:w="225"/>
        <w:gridCol w:w="439"/>
        <w:gridCol w:w="238"/>
        <w:gridCol w:w="330"/>
      </w:tblGrid>
      <w:tr>
        <w:trPr/>
        <w:tc>
          <w:tcPr>
            <w:tcW w:w="166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6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 issued and outstanding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56,765</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55,127 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54,746 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Anti-dilutive shares due to GAAP net loss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1,246</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906 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diluted weighted-average shares issued and outstanding</w:t>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58,011</w:t>
            </w:r>
            <w:r>
              <w:rPr>
                <w:color w:val="000000"/>
              </w:rPr>
              <w:t>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56,162 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55,652 </w:t>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GREEN DOT CORPORATION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Supplemental Detail on Diluted Weighted-Average Common Shares Issued and Outstanding</w:t>
      </w:r>
    </w:p>
    <w:p>
      <w:pPr>
        <w:pStyle w:val="TextBody"/>
        <w:bidi w:val="0"/>
        <w:spacing w:lineRule="auto" w:line="288" w:before="0" w:after="120"/>
        <w:jc w:val="center"/>
        <w:rPr>
          <w:rFonts w:ascii="Arial;sans-serif" w:hAnsi="Arial;sans-serif"/>
          <w:b/>
          <w:color w:val="000000"/>
          <w:sz w:val="20"/>
        </w:rPr>
      </w:pPr>
      <w:r>
        <w:rPr>
          <w:rFonts w:ascii="Arial;sans-serif" w:hAnsi="Arial;sans-serif"/>
          <w:b/>
          <w:color w:val="000000"/>
          <w:sz w:val="20"/>
        </w:rPr>
        <w:t>(Unaudited)</w:t>
      </w:r>
    </w:p>
    <w:tbl>
      <w:tblPr>
        <w:tblW w:w="10080" w:type="dxa"/>
        <w:jc w:val="center"/>
        <w:tblInd w:w="0" w:type="dxa"/>
        <w:tblLayout w:type="fixed"/>
        <w:tblCellMar>
          <w:top w:w="28" w:type="dxa"/>
          <w:left w:w="28" w:type="dxa"/>
          <w:bottom w:w="28" w:type="dxa"/>
          <w:right w:w="28" w:type="dxa"/>
        </w:tblCellMar>
      </w:tblPr>
      <w:tblGrid>
        <w:gridCol w:w="1538"/>
        <w:gridCol w:w="1351"/>
        <w:gridCol w:w="1356"/>
        <w:gridCol w:w="459"/>
        <w:gridCol w:w="273"/>
        <w:gridCol w:w="273"/>
        <w:gridCol w:w="273"/>
        <w:gridCol w:w="273"/>
        <w:gridCol w:w="273"/>
        <w:gridCol w:w="448"/>
        <w:gridCol w:w="273"/>
        <w:gridCol w:w="273"/>
        <w:gridCol w:w="109"/>
        <w:gridCol w:w="109"/>
        <w:gridCol w:w="109"/>
        <w:gridCol w:w="449"/>
        <w:gridCol w:w="243"/>
        <w:gridCol w:w="243"/>
        <w:gridCol w:w="243"/>
        <w:gridCol w:w="243"/>
        <w:gridCol w:w="243"/>
        <w:gridCol w:w="439"/>
        <w:gridCol w:w="243"/>
        <w:gridCol w:w="344"/>
      </w:tblGrid>
      <w:tr>
        <w:trPr/>
        <w:tc>
          <w:tcPr>
            <w:tcW w:w="1538"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Class A common stock outstanding as of June 30:</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56,985</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55,388 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56,985</w:t>
            </w: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55,388 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Weighting adjustment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(220)</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(728)</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(642)</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Dilutive potential shares:</w:t>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729"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Service based restricted stock units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1,133</w:t>
            </w: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1,678</w:t>
            </w: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882 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Performance-based restricted stock units</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113</w:t>
            </w: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23 </w:t>
            </w:r>
          </w:p>
        </w:tc>
        <w:tc>
          <w:tcPr>
            <w:tcW w:w="3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Employee stock purchase plan</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Diluted weighted-average shares issued and outstanding</w:t>
            </w:r>
          </w:p>
        </w:tc>
        <w:tc>
          <w:tcPr>
            <w:tcW w:w="7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58,011</w:t>
            </w:r>
            <w:r>
              <w:rPr>
                <w:color w:val="000000"/>
              </w:rPr>
              <w:t>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56,162 </w:t>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58,043</w:t>
            </w:r>
            <w:r>
              <w:rPr>
                <w:color w:val="000000"/>
              </w:rPr>
              <w:t> </w:t>
            </w:r>
          </w:p>
        </w:tc>
        <w:tc>
          <w:tcPr>
            <w:tcW w:w="2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55,652 </w:t>
            </w:r>
          </w:p>
        </w:tc>
        <w:tc>
          <w:tcPr>
            <w:tcW w:w="3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Arial;sans-serif" w:hAnsi="Arial;sans-serif"/>
          <w:b/>
          <w:color w:val="000000"/>
          <w:sz w:val="20"/>
        </w:rPr>
        <w:t xml:space="preserve">Reconciliation of Net (Loss) Income to Adjusted EBITDA </w:t>
      </w:r>
      <w:r>
        <w:rPr>
          <w:rFonts w:ascii="Arial;sans-serif" w:hAnsi="Arial;sans-serif"/>
          <w:b/>
          <w:color w:val="000000"/>
          <w:sz w:val="13"/>
        </w:rPr>
        <w:t>(1)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714"/>
        <w:gridCol w:w="1202"/>
        <w:gridCol w:w="1209"/>
        <w:gridCol w:w="196"/>
        <w:gridCol w:w="751"/>
        <w:gridCol w:w="256"/>
        <w:gridCol w:w="109"/>
        <w:gridCol w:w="109"/>
        <w:gridCol w:w="109"/>
        <w:gridCol w:w="196"/>
        <w:gridCol w:w="736"/>
        <w:gridCol w:w="256"/>
        <w:gridCol w:w="109"/>
        <w:gridCol w:w="109"/>
        <w:gridCol w:w="109"/>
        <w:gridCol w:w="196"/>
        <w:gridCol w:w="886"/>
        <w:gridCol w:w="256"/>
        <w:gridCol w:w="109"/>
        <w:gridCol w:w="109"/>
        <w:gridCol w:w="109"/>
        <w:gridCol w:w="196"/>
        <w:gridCol w:w="871"/>
        <w:gridCol w:w="303"/>
      </w:tblGrid>
      <w:tr>
        <w:trPr/>
        <w:tc>
          <w:tcPr>
            <w:tcW w:w="1714"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Six Months Ended June 30,</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2025</w:t>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 thousands)</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(loss)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(2,087)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(47,025)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51,666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 net (2)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3,157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3,017 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Income tax (benefit)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(268)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(15,898)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13,618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(8,016)</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Depreciation and amortization of property, equipment and internal-use software (2)</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18,665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36,798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31,262 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Stock-based compensation and related employer payroll taxes (2)(3)</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3,423</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8,427</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acquired intangible assets (2)(4)</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5,131</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10,278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10,399 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Transaction and related acquisition costs (2)(4)</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4,864</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6,278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Impairment charges (2)(5)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716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1,047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866 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Legal settlements and related expenses (2)(5)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6,322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7,322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Losses in equity method investments (2)(5)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1,677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75,856 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3,097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78,702 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Change in fair value of loans held for sale (2)(5)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Realized loss on available-for-sale investment securities (2)(5)</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Extraordinary severance expenses (2)(6)</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136</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642</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3,378 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Restructuring and other charges (7)</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96</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178</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expense, net (2)(5)</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108</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40,176</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45,425 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142,616</w:t>
            </w:r>
            <w:r>
              <w:rPr>
                <w:color w:val="000000"/>
              </w:rPr>
              <w:t>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135,984 </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Non-GAAP total operating revenues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591,285</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501,164 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1,243,317</w:t>
            </w: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1,057,128 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Adjusted EBITDA/Non-GAAP total operating revenues (adjusted EBITDA margin)</w:t>
            </w:r>
          </w:p>
        </w:tc>
        <w:tc>
          <w:tcPr>
            <w:tcW w:w="94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6.8</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11.5</w:t>
            </w:r>
            <w:r>
              <w:rPr>
                <w:color w:val="000000"/>
              </w:rPr>
              <w:t> </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12.9 </w:t>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bl>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(1)To supplement Green Dot’s consolidated financial statements presented in accordance with GAAP, Green Dot uses measures of operating results that are adjusted to exclude various, primarily non-cash, expenses and charges. These financial measures are not calculated or presented in accordance with GAAP and should not be considered as alternatives to or substitutes for operating revenues, operating income, net income or any other measure of financial performance calculated and presented in accordance with GAAP. These financial measures may not be comparable to similarly-titled measures of other organizations because other organizations may not calculate their measures in the same manner as Green Dot does. These financial measures are adjusted to eliminate the impact of items that Green Dot does not consider indicative of its core operating performance. You are encouraged to evaluate these adjustments and the reasons Green Dot considers them appropriate.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Green Dot believes that the non-GAAP financial measures it presents are useful to investors in evaluating Green Dot’s operating performance for the following reasons: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adjusted EBITDA is widely used by investors to measure a company’s operating performance without regard to items, such as non-operating net interest income and expense, income tax benefit and expense, depreciation and amortization, stock-based compensation and related employer payroll taxes, changes in the fair value of contingent consideration, transaction costs, impairment charges, extraordinary severance expenses, restructuring and other charges, certain legal settlement and related expenses, earnings or losses from equity method investments, changes in the fair value of loans held for sale, realized gains and losses on available-for-sale investment securities, and other charges and income that can vary substantially from company to company depending upon their respective financing structures and accounting policies, the book values of their assets, their capital structures and the methods by which their assets were acquired;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securities analysts use adjusted EBITDA as a supplemental measure to evaluate the overall operating performance of companies;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Green Dot records stock-based compensation from period to period, and recorded stock-based compensation expenses and related employer payroll taxes, net of forfeitures, of approximately $3.4 million and $5.8 million for the three months ended June 30, 2026 and 2025, respectively. By comparing Green Dot’s adjusted EBITDA, non-GAAP net income and non-GAAP diluted earnings per share in different historical periods, investors can evaluate Green Dot’s operating results without the additional variations caused by stock-based compensation expense and related employer payroll taxes, which may not be comparable from period to period due to changes in the fair market value of Green Dot’s Class A common stock (which is influenced by external factors like the volatility of the public markets and the financial performance of Green Dot’s peers) and is not a key measure of Green Dot’s operations.</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Green Dot’s management uses the non-GAAP financial measures: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as measures of operating performance, because they exclude the impact of items not directly resulting from Green Dot’s core operations;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for planning purposes, including the preparation of Green Dot’s annual operating budget;</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to allocate resources to enhance the financial performance of Green Dot’s business;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to evaluate the effectiveness of Green Dot’s business strategies;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to establish metrics for variable compensation;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in communications with Green Dot’s board of directors concerning Green Dot’s financial performance.</w:t>
      </w:r>
    </w:p>
    <w:p>
      <w:pPr>
        <w:pStyle w:val="TextBody"/>
        <w:bidi w:val="0"/>
        <w:spacing w:lineRule="auto" w:line="288" w:before="0" w:after="120"/>
        <w:jc w:val="both"/>
        <w:rPr>
          <w:rFonts w:ascii="Arial;sans-serif" w:hAnsi="Arial;sans-serif"/>
          <w:b w:val="false"/>
          <w:color w:val="000000"/>
          <w:sz w:val="18"/>
        </w:rPr>
      </w:pPr>
      <w:r>
        <w:rPr>
          <w:rFonts w:ascii="Arial;sans-serif" w:hAnsi="Arial;sans-serif"/>
          <w:b w:val="false"/>
          <w:color w:val="000000"/>
          <w:sz w:val="18"/>
        </w:rPr>
        <w:t>Green Dot understands that, although adjusted EBITDA and other non-GAAP financial measures are frequently used by investors and securities analysts in their evaluations of companies, these measures have limitations as an analytical tool, and you should not consider them in isolation or as substitutes for an analysis of Green Dot’s results of operations as reported under GAAP. Some of these limitations are: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Green Dot’s capital expenditures or future requirements for capital expenditures or other contractual commitments;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changes in, or cash requirements for, Green Dot’s working capital needs;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non-operating interest expense or interest income;</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these measures do not reflect cash requirements for income taxes;</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although depreciation and amortization are non-cash charges, the assets being depreciated or amortized will often have to be replaced in the future, and these measures do not reflect any cash requirements for these replacements; and</w:t>
      </w:r>
    </w:p>
    <w:p>
      <w:pPr>
        <w:pStyle w:val="TextBody"/>
        <w:bidi w:val="0"/>
        <w:spacing w:lineRule="auto" w:line="288" w:before="0" w:after="120"/>
        <w:ind w:left="0" w:right="0" w:hanging="360"/>
        <w:jc w:val="both"/>
        <w:rPr/>
      </w:pPr>
      <w:r>
        <w:rPr>
          <w:color w:val="000000"/>
        </w:rPr>
        <w:t>▪</w:t>
      </w:r>
      <w:r>
        <w:rPr>
          <w:rFonts w:ascii="Arial;sans-serif" w:hAnsi="Arial;sans-serif"/>
          <w:b w:val="false"/>
          <w:color w:val="000000"/>
          <w:sz w:val="18"/>
        </w:rPr>
        <w:t>that other companies in Green Dot’s industry may calculate these measures differently than Green Dot does, limiting their usefulness as comparative measures.</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(2)Green Dot does not include any income tax impact of the associated non-GAAP adjustment to adjusted EBITDA, as the case may be, because each of these adjustments to the non-GAAP financial measure is provided before income tax expense.</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(3)This expense consists primarily of expenses for restricted stock units (including performance-based restricted stock units) and related employer payroll taxes. Stock-based compensation expense is not comparable from period to period due to changes in the fair market value of Green Dot’s Class A common stock (which is influenced by external factors like the volatility of public markets and the financial performance of Green Dot’s peers) and is not a key measure of Green Dot’s operations. Green Dot excludes stock-based compensation expense from its non-GAAP financial measures primarily because it consists of non-cash expenses that Green Dot does not believe are reflective of ongoing operating results. Green Dot also believes that it is not useful to investors to understand the impact of stock-based compensation on its results of operations. Further, the related employer payroll taxes are dependent upon volatility in Green Dot's stock price, as well as the timing and size of option exercises and vesting of restricted stock units, over which Green Dot has limited to no control. This expense is included as a component of compensation and benefits expenses on Green Dot's consolidated statements of operations.</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(4)Green Dot excludes certain expenses that are the result of acquisition or divestiture activities, including a sale in connection with its evaluation of strategic alternatives. These acquisition-related adjustments include items such as transaction costs, the amortization of acquired intangible assets, changes in the fair value of contingent consideration, settlements of contingencies established at time of acquisition and other acquisition related charges, such as integration charges and professional and legal fees, which result in Green Dot recording expenses or fair value adjustments in its GAAP financial statements. Green Dot may also from time to time incur gains or losses from divestitures of a business or other sale activities, as well as professional and legal fees and other direct expenses associated with such transactions. Green Dot analyzes the performance of its operations without regard to these adjustments. In determining whether any acquisition-related adjustment is appropriate, Green Dot takes into consideration, among other things, how such adjustments would or would not aid in the understanding of the performance of its operations. These items are included as a component of other general and administrative expenses on Green Dot's consolidated statements of operations, as applicable for the periods presented. </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(5)Green Dot excludes certain income and expenses that are not reflective of ongoing operating results. It is difficult to estimate the amount or timing of these items in advance. Although these events are reflected in Green Dot's GAAP financial statements, Green Dot excludes them in its non-GAAP financial measures because Green Dot believes these items may limit the comparability of ongoing operations with prior and future periods. These adjustments include items such as amortization attributable to deferred financing costs, impairment charges related to long-lived assets, earnings or losses from equity method investments, legal settlements and related expenses, changes in the fair value of loans held for sale, realized gains and losses on available-for-sale investment securities and other income and expenses, as applicable for the periods presented. In determining whether any such adjustment is appropriate, Green Dot takes into consideration, among other things, how such adjustments would or would not aid in the understanding of the performance of its operations. Each of these adjustments, except for amortization of deferred financing costs, earnings and losses from equity method investments, fair value changes on loans held for sale, and realized gains and losses on available-for-sale investment securities, which are all included below operating income, are included within other general and administrative expenses on Green Dot's consolidated statements of operations. </w:t>
      </w:r>
    </w:p>
    <w:p>
      <w:pPr>
        <w:pStyle w:val="TextBody"/>
        <w:bidi w:val="0"/>
        <w:spacing w:lineRule="auto" w:line="26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(6)During the three months ended June 30, 2026, Green Dot recorded $0.1 million related to extraordinary severance expenses, which were paid out in connection with extraordinary involuntary terminations of employment. Although severance expenses may arise throughout the fiscal year, Green Dot believes the nature of these extraordinary costs are not indicative of its core operating performance. This expense is included as a component of compensation and benefits expenses on Green Dot's consolidated statements of operations.</w:t>
      </w:r>
    </w:p>
    <w:p>
      <w:pPr>
        <w:pStyle w:val="TextBody"/>
        <w:bidi w:val="0"/>
        <w:spacing w:lineRule="auto" w:line="26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(7)During the three months ended June 30, 2026, Green Dot recorded $0.1 million for restructuring and other charges related specifically to the closure of its China operations. Green Dot excludes restructuring and other charges primarily because these costs are not reflective of ongoing operating results, nor are considered normal, recurring cash operating expenses. </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 xml:space="preserve">(8)Represents the tax effect for the related non-GAAP measure adjustments using Green Dot's year to date non-GAAP effective tax rate. It also excludes the impact of excess tax benefits related to stock-based compensation, the IRC §162(m) limitation that applies to performance-based restricted stock units expense, and valuation allowances related to deferred tax assets as of June 30, 2026. </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(9)Represents commissions and certain processing-related costs associated with embedded finance products and services where Green Dot does not control customer acquisition. This adjustment is netted against revenues when evaluating segment performance.</w:t>
      </w:r>
    </w:p>
    <w:p>
      <w:pPr>
        <w:pStyle w:val="TextBody"/>
        <w:bidi w:val="0"/>
        <w:spacing w:lineRule="auto" w:line="288" w:before="0" w:after="120"/>
        <w:ind w:left="0" w:right="0" w:hanging="360"/>
        <w:jc w:val="both"/>
        <w:rPr>
          <w:rFonts w:ascii="Arial;sans-serif" w:hAnsi="Arial;sans-serif"/>
          <w:b w:val="false"/>
          <w:color w:val="000000"/>
          <w:sz w:val="18"/>
        </w:rPr>
      </w:pPr>
      <w:r>
        <w:rPr>
          <w:rFonts w:ascii="Arial;sans-serif" w:hAnsi="Arial;sans-serif"/>
          <w:b w:val="false"/>
          <w:color w:val="000000"/>
          <w:sz w:val="18"/>
        </w:rPr>
        <w:t>(10)Represents other non-interest investment income earned by Green Dot Bank. This amount is included along with operating interest income in Green Dot's Corporate and Other segment since the yield earned on these investments is generated on a recurring basis and earned similarly to its investment securities available-for-sale.</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8214</Words>
  <Characters>47538</Characters>
  <CharactersWithSpaces>55063</CharactersWithSpaces>
  <Paragraphs>1296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