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27"/>
          <w:szCs w:val="27"/>
          <w:b w:val="1"/>
          <w:bCs w:val="1"/>
          <w:color w:val="auto"/>
        </w:rPr>
        <w:t>UNITED STATES</w:t>
      </w:r>
    </w:p>
    <w:p>
      <w:pPr>
        <w:spacing w:after="0" w:line="37" w:lineRule="exact"/>
        <w:rPr>
          <w:sz w:val="24"/>
          <w:szCs w:val="24"/>
          <w:color w:val="auto"/>
        </w:rPr>
      </w:pPr>
    </w:p>
    <w:p>
      <w:pPr>
        <w:jc w:val="center"/>
        <w:ind w:right="160"/>
        <w:spacing w:after="0"/>
        <w:rPr>
          <w:sz w:val="20"/>
          <w:szCs w:val="20"/>
          <w:color w:val="auto"/>
        </w:rPr>
      </w:pPr>
      <w:r>
        <w:rPr>
          <w:rFonts w:ascii="Arial" w:cs="Arial" w:eastAsia="Arial" w:hAnsi="Arial"/>
          <w:sz w:val="27"/>
          <w:szCs w:val="27"/>
          <w:b w:val="1"/>
          <w:bCs w:val="1"/>
          <w:color w:val="auto"/>
        </w:rPr>
        <w:t>SECURITIES AND EXCHANGE COMMISSION</w:t>
      </w:r>
    </w:p>
    <w:p>
      <w:pPr>
        <w:spacing w:after="0" w:line="9" w:lineRule="exact"/>
        <w:rPr>
          <w:sz w:val="24"/>
          <w:szCs w:val="24"/>
          <w:color w:val="auto"/>
        </w:rPr>
      </w:pPr>
    </w:p>
    <w:p>
      <w:pPr>
        <w:jc w:val="center"/>
        <w:ind w:right="160"/>
        <w:spacing w:after="0"/>
        <w:rPr>
          <w:sz w:val="20"/>
          <w:szCs w:val="20"/>
          <w:color w:val="auto"/>
        </w:rPr>
      </w:pPr>
      <w:r>
        <w:rPr>
          <w:rFonts w:ascii="Arial" w:cs="Arial" w:eastAsia="Arial" w:hAnsi="Arial"/>
          <w:sz w:val="23"/>
          <w:szCs w:val="23"/>
          <w:b w:val="1"/>
          <w:bCs w:val="1"/>
          <w:color w:val="auto"/>
        </w:rPr>
        <w:t>Washington, D.C. 20549</w:t>
      </w:r>
    </w:p>
    <w:p>
      <w:pPr>
        <w:spacing w:after="0" w:line="232" w:lineRule="exact"/>
        <w:rPr>
          <w:sz w:val="24"/>
          <w:szCs w:val="24"/>
          <w:color w:val="auto"/>
        </w:rPr>
      </w:pPr>
    </w:p>
    <w:p>
      <w:pPr>
        <w:jc w:val="center"/>
        <w:ind w:right="160"/>
        <w:spacing w:after="0"/>
        <w:rPr>
          <w:sz w:val="20"/>
          <w:szCs w:val="20"/>
          <w:color w:val="auto"/>
        </w:rPr>
      </w:pPr>
      <w:r>
        <w:rPr>
          <w:rFonts w:ascii="Arial" w:cs="Arial" w:eastAsia="Arial" w:hAnsi="Arial"/>
          <w:sz w:val="34"/>
          <w:szCs w:val="34"/>
          <w:b w:val="1"/>
          <w:bCs w:val="1"/>
          <w:color w:val="auto"/>
        </w:rPr>
        <w:t>FORM 8-K</w:t>
      </w:r>
    </w:p>
    <w:p>
      <w:pPr>
        <w:spacing w:after="0" w:line="297" w:lineRule="exact"/>
        <w:rPr>
          <w:sz w:val="24"/>
          <w:szCs w:val="24"/>
          <w:color w:val="auto"/>
        </w:rPr>
      </w:pPr>
    </w:p>
    <w:p>
      <w:pPr>
        <w:jc w:val="center"/>
        <w:ind w:right="160"/>
        <w:spacing w:after="0"/>
        <w:rPr>
          <w:sz w:val="20"/>
          <w:szCs w:val="20"/>
          <w:color w:val="auto"/>
        </w:rPr>
      </w:pPr>
      <w:r>
        <w:rPr>
          <w:rFonts w:ascii="Arial" w:cs="Arial" w:eastAsia="Arial" w:hAnsi="Arial"/>
          <w:sz w:val="23"/>
          <w:szCs w:val="23"/>
          <w:b w:val="1"/>
          <w:bCs w:val="1"/>
          <w:color w:val="auto"/>
        </w:rPr>
        <w:t>CURRENT REPORT</w:t>
      </w:r>
    </w:p>
    <w:p>
      <w:pPr>
        <w:spacing w:after="0" w:line="277" w:lineRule="exact"/>
        <w:rPr>
          <w:sz w:val="24"/>
          <w:szCs w:val="24"/>
          <w:color w:val="auto"/>
        </w:rPr>
      </w:pPr>
    </w:p>
    <w:p>
      <w:pPr>
        <w:jc w:val="center"/>
        <w:ind w:right="160"/>
        <w:spacing w:after="0"/>
        <w:rPr>
          <w:sz w:val="20"/>
          <w:szCs w:val="20"/>
          <w:color w:val="auto"/>
        </w:rPr>
      </w:pPr>
      <w:r>
        <w:rPr>
          <w:rFonts w:ascii="Arial" w:cs="Arial" w:eastAsia="Arial" w:hAnsi="Arial"/>
          <w:sz w:val="23"/>
          <w:szCs w:val="23"/>
          <w:b w:val="1"/>
          <w:bCs w:val="1"/>
          <w:color w:val="auto"/>
        </w:rPr>
        <w:t>Pursuant to Section 13 or 15(d) of</w:t>
      </w:r>
    </w:p>
    <w:p>
      <w:pPr>
        <w:spacing w:after="0" w:line="34" w:lineRule="exact"/>
        <w:rPr>
          <w:sz w:val="24"/>
          <w:szCs w:val="24"/>
          <w:color w:val="auto"/>
        </w:rPr>
      </w:pPr>
    </w:p>
    <w:p>
      <w:pPr>
        <w:jc w:val="center"/>
        <w:ind w:right="160"/>
        <w:spacing w:after="0"/>
        <w:rPr>
          <w:sz w:val="20"/>
          <w:szCs w:val="20"/>
          <w:color w:val="auto"/>
        </w:rPr>
      </w:pPr>
      <w:r>
        <w:rPr>
          <w:rFonts w:ascii="Arial" w:cs="Arial" w:eastAsia="Arial" w:hAnsi="Arial"/>
          <w:sz w:val="23"/>
          <w:szCs w:val="23"/>
          <w:b w:val="1"/>
          <w:bCs w:val="1"/>
          <w:color w:val="auto"/>
        </w:rPr>
        <w:t>the Securities Exchange Act of 1934</w:t>
      </w:r>
    </w:p>
    <w:p>
      <w:pPr>
        <w:spacing w:after="0" w:line="249" w:lineRule="exact"/>
        <w:rPr>
          <w:sz w:val="24"/>
          <w:szCs w:val="24"/>
          <w:color w:val="auto"/>
        </w:rPr>
      </w:pPr>
    </w:p>
    <w:p>
      <w:pPr>
        <w:jc w:val="center"/>
        <w:ind w:right="160"/>
        <w:spacing w:after="0"/>
        <w:rPr>
          <w:sz w:val="20"/>
          <w:szCs w:val="20"/>
          <w:color w:val="auto"/>
        </w:rPr>
      </w:pPr>
      <w:r>
        <w:rPr>
          <w:rFonts w:ascii="Arial" w:cs="Arial" w:eastAsia="Arial" w:hAnsi="Arial"/>
          <w:sz w:val="23"/>
          <w:szCs w:val="23"/>
          <w:b w:val="1"/>
          <w:bCs w:val="1"/>
          <w:color w:val="auto"/>
        </w:rPr>
        <w:t>Date of Report (Date of Earliest Event Reported): February 20, 2019</w:t>
      </w:r>
    </w:p>
    <w:p>
      <w:pPr>
        <w:spacing w:after="0" w:line="267" w:lineRule="exact"/>
        <w:rPr>
          <w:sz w:val="24"/>
          <w:szCs w:val="24"/>
          <w:color w:val="auto"/>
        </w:rPr>
      </w:pPr>
    </w:p>
    <w:p>
      <w:pPr>
        <w:jc w:val="center"/>
        <w:ind w:right="160"/>
        <w:spacing w:after="0"/>
        <w:rPr>
          <w:sz w:val="20"/>
          <w:szCs w:val="20"/>
          <w:color w:val="auto"/>
        </w:rPr>
      </w:pPr>
      <w:r>
        <w:rPr>
          <w:rFonts w:ascii="Arial" w:cs="Arial" w:eastAsia="Arial" w:hAnsi="Arial"/>
          <w:sz w:val="42"/>
          <w:szCs w:val="42"/>
          <w:b w:val="1"/>
          <w:bCs w:val="1"/>
          <w:color w:val="auto"/>
        </w:rPr>
        <w:t>Green Dot Corporation</w:t>
      </w:r>
    </w:p>
    <w:p>
      <w:pPr>
        <w:spacing w:after="0" w:line="46" w:lineRule="exact"/>
        <w:rPr>
          <w:sz w:val="24"/>
          <w:szCs w:val="24"/>
          <w:color w:val="auto"/>
        </w:rPr>
      </w:pPr>
    </w:p>
    <w:p>
      <w:pPr>
        <w:jc w:val="center"/>
        <w:ind w:right="160"/>
        <w:spacing w:after="0"/>
        <w:rPr>
          <w:sz w:val="20"/>
          <w:szCs w:val="20"/>
          <w:color w:val="auto"/>
        </w:rPr>
      </w:pPr>
      <w:r>
        <w:rPr>
          <w:rFonts w:ascii="Arial" w:cs="Arial" w:eastAsia="Arial" w:hAnsi="Arial"/>
          <w:sz w:val="19"/>
          <w:szCs w:val="19"/>
          <w:i w:val="1"/>
          <w:iCs w:val="1"/>
          <w:color w:val="auto"/>
        </w:rPr>
        <w:t>(Exact Name of the Registrant as Specified in Its Charter)</w:t>
      </w:r>
    </w:p>
    <w:p>
      <w:pPr>
        <w:spacing w:after="0" w:line="257" w:lineRule="exact"/>
        <w:rPr>
          <w:sz w:val="24"/>
          <w:szCs w:val="24"/>
          <w:color w:val="auto"/>
        </w:rPr>
      </w:pPr>
    </w:p>
    <w:p>
      <w:pPr>
        <w:jc w:val="center"/>
        <w:ind w:right="160"/>
        <w:spacing w:after="0"/>
        <w:rPr>
          <w:sz w:val="20"/>
          <w:szCs w:val="20"/>
          <w:color w:val="auto"/>
        </w:rPr>
      </w:pPr>
      <w:r>
        <w:rPr>
          <w:rFonts w:ascii="Arial" w:cs="Arial" w:eastAsia="Arial" w:hAnsi="Arial"/>
          <w:sz w:val="19"/>
          <w:szCs w:val="19"/>
          <w:b w:val="1"/>
          <w:bCs w:val="1"/>
          <w:color w:val="auto"/>
        </w:rPr>
        <w:t>Delaware</w:t>
      </w:r>
    </w:p>
    <w:p>
      <w:pPr>
        <w:spacing w:after="0" w:line="34" w:lineRule="exact"/>
        <w:rPr>
          <w:sz w:val="24"/>
          <w:szCs w:val="24"/>
          <w:color w:val="auto"/>
        </w:rPr>
      </w:pPr>
    </w:p>
    <w:p>
      <w:pPr>
        <w:jc w:val="center"/>
        <w:ind w:right="160"/>
        <w:spacing w:after="0"/>
        <w:rPr>
          <w:sz w:val="20"/>
          <w:szCs w:val="20"/>
          <w:color w:val="auto"/>
        </w:rPr>
      </w:pPr>
      <w:r>
        <w:rPr>
          <w:rFonts w:ascii="Arial" w:cs="Arial" w:eastAsia="Arial" w:hAnsi="Arial"/>
          <w:sz w:val="19"/>
          <w:szCs w:val="19"/>
          <w:i w:val="1"/>
          <w:iCs w:val="1"/>
          <w:color w:val="auto"/>
        </w:rPr>
        <w:t>(State or Other Jurisdiction of Incorporation)</w:t>
      </w:r>
    </w:p>
    <w:p>
      <w:pPr>
        <w:spacing w:after="0" w:line="171" w:lineRule="exact"/>
        <w:rPr>
          <w:sz w:val="24"/>
          <w:szCs w:val="24"/>
          <w:color w:val="auto"/>
        </w:rPr>
      </w:pPr>
    </w:p>
    <w:tbl>
      <w:tblPr>
        <w:tblLayout w:type="fixed"/>
        <w:tblInd w:w="1060" w:type="dxa"/>
        <w:tblCellMar>
          <w:top w:w="0" w:type="dxa"/>
          <w:left w:w="0" w:type="dxa"/>
          <w:bottom w:w="0" w:type="dxa"/>
          <w:right w:w="0" w:type="dxa"/>
        </w:tblCellMar>
      </w:tblPr>
      <w:tr>
        <w:trPr>
          <w:trHeight w:val="252"/>
        </w:trPr>
        <w:tc>
          <w:tcPr>
            <w:tcW w:w="4440" w:type="dxa"/>
            <w:vAlign w:val="bottom"/>
          </w:tcPr>
          <w:p>
            <w:pPr>
              <w:jc w:val="center"/>
              <w:ind w:right="1025"/>
              <w:spacing w:after="0"/>
              <w:rPr>
                <w:sz w:val="20"/>
                <w:szCs w:val="20"/>
                <w:color w:val="auto"/>
              </w:rPr>
            </w:pPr>
            <w:r>
              <w:rPr>
                <w:rFonts w:ascii="Arial" w:cs="Arial" w:eastAsia="Arial" w:hAnsi="Arial"/>
                <w:sz w:val="19"/>
                <w:szCs w:val="19"/>
                <w:b w:val="1"/>
                <w:bCs w:val="1"/>
                <w:color w:val="auto"/>
              </w:rPr>
              <w:t>001-34819</w:t>
            </w:r>
          </w:p>
        </w:tc>
        <w:tc>
          <w:tcPr>
            <w:tcW w:w="5700" w:type="dxa"/>
            <w:vAlign w:val="bottom"/>
          </w:tcPr>
          <w:p>
            <w:pPr>
              <w:jc w:val="right"/>
              <w:ind w:right="1685"/>
              <w:spacing w:after="0"/>
              <w:rPr>
                <w:sz w:val="20"/>
                <w:szCs w:val="20"/>
                <w:color w:val="auto"/>
              </w:rPr>
            </w:pPr>
            <w:r>
              <w:rPr>
                <w:rFonts w:ascii="Arial" w:cs="Arial" w:eastAsia="Arial" w:hAnsi="Arial"/>
                <w:sz w:val="19"/>
                <w:szCs w:val="19"/>
                <w:b w:val="1"/>
                <w:bCs w:val="1"/>
                <w:color w:val="auto"/>
              </w:rPr>
              <w:t>95-4766827</w:t>
            </w:r>
          </w:p>
        </w:tc>
      </w:tr>
      <w:tr>
        <w:trPr>
          <w:trHeight w:val="285"/>
        </w:trPr>
        <w:tc>
          <w:tcPr>
            <w:tcW w:w="4440" w:type="dxa"/>
            <w:vAlign w:val="bottom"/>
          </w:tcPr>
          <w:p>
            <w:pPr>
              <w:jc w:val="center"/>
              <w:ind w:right="1005"/>
              <w:spacing w:after="0"/>
              <w:rPr>
                <w:sz w:val="20"/>
                <w:szCs w:val="20"/>
                <w:color w:val="auto"/>
              </w:rPr>
            </w:pPr>
            <w:r>
              <w:rPr>
                <w:rFonts w:ascii="Arial" w:cs="Arial" w:eastAsia="Arial" w:hAnsi="Arial"/>
                <w:sz w:val="19"/>
                <w:szCs w:val="19"/>
                <w:i w:val="1"/>
                <w:iCs w:val="1"/>
                <w:color w:val="auto"/>
              </w:rPr>
              <w:t>(Commission File Number)</w:t>
            </w:r>
          </w:p>
        </w:tc>
        <w:tc>
          <w:tcPr>
            <w:tcW w:w="5700" w:type="dxa"/>
            <w:vAlign w:val="bottom"/>
          </w:tcPr>
          <w:p>
            <w:pPr>
              <w:jc w:val="center"/>
              <w:ind w:left="1005"/>
              <w:spacing w:after="0"/>
              <w:rPr>
                <w:sz w:val="20"/>
                <w:szCs w:val="20"/>
                <w:color w:val="auto"/>
              </w:rPr>
            </w:pPr>
            <w:r>
              <w:rPr>
                <w:rFonts w:ascii="Arial" w:cs="Arial" w:eastAsia="Arial" w:hAnsi="Arial"/>
                <w:sz w:val="19"/>
                <w:szCs w:val="19"/>
                <w:i w:val="1"/>
                <w:iCs w:val="1"/>
                <w:color w:val="auto"/>
                <w:w w:val="99"/>
              </w:rPr>
              <w:t>(IRS Employer Identification No.)</w:t>
            </w:r>
          </w:p>
        </w:tc>
      </w:tr>
      <w:tr>
        <w:trPr>
          <w:trHeight w:val="547"/>
        </w:trPr>
        <w:tc>
          <w:tcPr>
            <w:tcW w:w="4440" w:type="dxa"/>
            <w:vAlign w:val="bottom"/>
          </w:tcPr>
          <w:p>
            <w:pPr>
              <w:jc w:val="center"/>
              <w:ind w:right="1025"/>
              <w:spacing w:after="0"/>
              <w:rPr>
                <w:sz w:val="20"/>
                <w:szCs w:val="20"/>
                <w:color w:val="auto"/>
              </w:rPr>
            </w:pPr>
            <w:r>
              <w:rPr>
                <w:rFonts w:ascii="Arial" w:cs="Arial" w:eastAsia="Arial" w:hAnsi="Arial"/>
                <w:sz w:val="19"/>
                <w:szCs w:val="19"/>
                <w:b w:val="1"/>
                <w:bCs w:val="1"/>
                <w:color w:val="auto"/>
                <w:w w:val="99"/>
              </w:rPr>
              <w:t>3465 East Foothill Blvd</w:t>
            </w:r>
          </w:p>
        </w:tc>
        <w:tc>
          <w:tcPr>
            <w:tcW w:w="5700" w:type="dxa"/>
            <w:vAlign w:val="bottom"/>
          </w:tcPr>
          <w:p>
            <w:pPr>
              <w:spacing w:after="0"/>
              <w:rPr>
                <w:sz w:val="24"/>
                <w:szCs w:val="24"/>
                <w:color w:val="auto"/>
              </w:rPr>
            </w:pPr>
          </w:p>
        </w:tc>
      </w:tr>
      <w:tr>
        <w:trPr>
          <w:trHeight w:val="252"/>
        </w:trPr>
        <w:tc>
          <w:tcPr>
            <w:tcW w:w="4440" w:type="dxa"/>
            <w:vAlign w:val="bottom"/>
          </w:tcPr>
          <w:p>
            <w:pPr>
              <w:jc w:val="center"/>
              <w:ind w:right="1025"/>
              <w:spacing w:after="0"/>
              <w:rPr>
                <w:sz w:val="20"/>
                <w:szCs w:val="20"/>
                <w:color w:val="auto"/>
              </w:rPr>
            </w:pPr>
            <w:r>
              <w:rPr>
                <w:rFonts w:ascii="Arial" w:cs="Arial" w:eastAsia="Arial" w:hAnsi="Arial"/>
                <w:sz w:val="19"/>
                <w:szCs w:val="19"/>
                <w:b w:val="1"/>
                <w:bCs w:val="1"/>
                <w:color w:val="auto"/>
                <w:w w:val="99"/>
              </w:rPr>
              <w:t>Pasadena, CA 91107</w:t>
            </w:r>
          </w:p>
        </w:tc>
        <w:tc>
          <w:tcPr>
            <w:tcW w:w="5700" w:type="dxa"/>
            <w:vAlign w:val="bottom"/>
          </w:tcPr>
          <w:p>
            <w:pPr>
              <w:jc w:val="right"/>
              <w:ind w:right="1545"/>
              <w:spacing w:after="0"/>
              <w:rPr>
                <w:sz w:val="20"/>
                <w:szCs w:val="20"/>
                <w:color w:val="auto"/>
              </w:rPr>
            </w:pPr>
            <w:r>
              <w:rPr>
                <w:rFonts w:ascii="Arial" w:cs="Arial" w:eastAsia="Arial" w:hAnsi="Arial"/>
                <w:sz w:val="19"/>
                <w:szCs w:val="19"/>
                <w:b w:val="1"/>
                <w:bCs w:val="1"/>
                <w:color w:val="auto"/>
              </w:rPr>
              <w:t>(626) 765-2000</w:t>
            </w:r>
          </w:p>
        </w:tc>
      </w:tr>
      <w:tr>
        <w:trPr>
          <w:trHeight w:val="285"/>
        </w:trPr>
        <w:tc>
          <w:tcPr>
            <w:tcW w:w="4440" w:type="dxa"/>
            <w:vAlign w:val="bottom"/>
          </w:tcPr>
          <w:p>
            <w:pPr>
              <w:jc w:val="center"/>
              <w:ind w:right="1005"/>
              <w:spacing w:after="0"/>
              <w:rPr>
                <w:sz w:val="20"/>
                <w:szCs w:val="20"/>
                <w:color w:val="auto"/>
              </w:rPr>
            </w:pPr>
            <w:r>
              <w:rPr>
                <w:rFonts w:ascii="Arial" w:cs="Arial" w:eastAsia="Arial" w:hAnsi="Arial"/>
                <w:sz w:val="19"/>
                <w:szCs w:val="19"/>
                <w:i w:val="1"/>
                <w:iCs w:val="1"/>
                <w:color w:val="auto"/>
              </w:rPr>
              <w:t>(Address of Principal Executive Offices)</w:t>
            </w:r>
          </w:p>
        </w:tc>
        <w:tc>
          <w:tcPr>
            <w:tcW w:w="5700" w:type="dxa"/>
            <w:vAlign w:val="bottom"/>
          </w:tcPr>
          <w:p>
            <w:pPr>
              <w:jc w:val="center"/>
              <w:ind w:left="1005"/>
              <w:spacing w:after="0"/>
              <w:rPr>
                <w:sz w:val="20"/>
                <w:szCs w:val="20"/>
                <w:color w:val="auto"/>
              </w:rPr>
            </w:pPr>
            <w:r>
              <w:rPr>
                <w:rFonts w:ascii="Arial" w:cs="Arial" w:eastAsia="Arial" w:hAnsi="Arial"/>
                <w:sz w:val="19"/>
                <w:szCs w:val="19"/>
                <w:i w:val="1"/>
                <w:iCs w:val="1"/>
                <w:color w:val="auto"/>
                <w:w w:val="99"/>
              </w:rPr>
              <w:t>(Registrant's Telephone Number, Including Area Code)</w:t>
            </w:r>
          </w:p>
        </w:tc>
      </w:tr>
    </w:tbl>
    <w:p>
      <w:pPr>
        <w:spacing w:after="0" w:line="375" w:lineRule="exact"/>
        <w:rPr>
          <w:sz w:val="24"/>
          <w:szCs w:val="24"/>
          <w:color w:val="auto"/>
        </w:rPr>
      </w:pPr>
    </w:p>
    <w:p>
      <w:pPr>
        <w:jc w:val="center"/>
        <w:ind w:right="160"/>
        <w:spacing w:after="0"/>
        <w:rPr>
          <w:sz w:val="20"/>
          <w:szCs w:val="20"/>
          <w:color w:val="auto"/>
        </w:rPr>
      </w:pPr>
      <w:r>
        <w:rPr>
          <w:rFonts w:ascii="Arial" w:cs="Arial" w:eastAsia="Arial" w:hAnsi="Arial"/>
          <w:sz w:val="19"/>
          <w:szCs w:val="19"/>
          <w:b w:val="1"/>
          <w:bCs w:val="1"/>
          <w:color w:val="auto"/>
        </w:rPr>
        <w:t>Not Applicable</w:t>
      </w:r>
    </w:p>
    <w:p>
      <w:pPr>
        <w:spacing w:after="0" w:line="128" w:lineRule="exact"/>
        <w:rPr>
          <w:sz w:val="24"/>
          <w:szCs w:val="24"/>
          <w:color w:val="auto"/>
        </w:rPr>
      </w:pPr>
    </w:p>
    <w:p>
      <w:pPr>
        <w:jc w:val="center"/>
        <w:ind w:right="160"/>
        <w:spacing w:after="0"/>
        <w:rPr>
          <w:sz w:val="20"/>
          <w:szCs w:val="20"/>
          <w:color w:val="auto"/>
        </w:rPr>
      </w:pPr>
      <w:r>
        <w:rPr>
          <w:rFonts w:ascii="Arial" w:cs="Arial" w:eastAsia="Arial" w:hAnsi="Arial"/>
          <w:sz w:val="19"/>
          <w:szCs w:val="19"/>
          <w:i w:val="1"/>
          <w:iCs w:val="1"/>
          <w:color w:val="auto"/>
        </w:rPr>
        <w:t>(Former Name or Former Address, If Changed Since Last Report)</w:t>
      </w:r>
    </w:p>
    <w:p>
      <w:pPr>
        <w:spacing w:after="0" w:line="200" w:lineRule="exact"/>
        <w:rPr>
          <w:sz w:val="24"/>
          <w:szCs w:val="24"/>
          <w:color w:val="auto"/>
        </w:rPr>
      </w:pPr>
    </w:p>
    <w:p>
      <w:pPr>
        <w:spacing w:after="0" w:line="229"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spacing w:after="0"/>
        <w:rPr>
          <w:sz w:val="20"/>
          <w:szCs w:val="20"/>
          <w:color w:val="auto"/>
        </w:rPr>
      </w:pPr>
      <w:r>
        <w:rPr>
          <w:rFonts w:ascii="Arial" w:cs="Arial" w:eastAsia="Arial" w:hAnsi="Arial"/>
          <w:sz w:val="19"/>
          <w:szCs w:val="19"/>
          <w:color w:val="auto"/>
        </w:rPr>
        <w:t>o Written communications pursuant to Rule 425 under the Securities Act (17 CFR 230.425)</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o Soliciting material pursuant to Rule 14a-12 under the Exchange Act (17 CFR 240.14a-12)</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o Pre-commencement communications pursuant to Rule 14d-2(b) under the Exchange Act (17 CFR 240.14d-2)</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o Pre-commencement communications pursuant to Rule 13e-4(c) under the Exchange Act (17 CFR 240.13e-4(c))</w:t>
      </w:r>
    </w:p>
    <w:p>
      <w:pPr>
        <w:spacing w:after="0" w:line="251"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96" w:lineRule="exact"/>
        <w:rPr>
          <w:sz w:val="24"/>
          <w:szCs w:val="24"/>
          <w:color w:val="auto"/>
        </w:rPr>
      </w:pPr>
    </w:p>
    <w:p>
      <w:pPr>
        <w:ind w:left="680"/>
        <w:spacing w:after="0"/>
        <w:rPr>
          <w:sz w:val="20"/>
          <w:szCs w:val="20"/>
          <w:color w:val="auto"/>
        </w:rPr>
      </w:pPr>
      <w:r>
        <w:rPr>
          <w:rFonts w:ascii="Arial" w:cs="Arial" w:eastAsia="Arial" w:hAnsi="Arial"/>
          <w:sz w:val="19"/>
          <w:szCs w:val="19"/>
          <w:color w:val="auto"/>
        </w:rPr>
        <w:t>Emerging growth company o</w:t>
      </w:r>
    </w:p>
    <w:p>
      <w:pPr>
        <w:spacing w:after="0" w:line="251"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2240" w:h="15840" w:orient="portrait"/>
          <w:cols w:equalWidth="0" w:num="1">
            <w:col w:w="11840"/>
          </w:cols>
          <w:pgMar w:left="280" w:top="680" w:right="120" w:bottom="1440" w:gutter="0" w:footer="0" w:header="0"/>
        </w:sectPr>
      </w:pPr>
    </w:p>
    <w:bookmarkStart w:id="1" w:name="page2"/>
    <w:bookmarkEnd w:id="1"/>
    <w:p>
      <w:pPr>
        <w:ind w:right="920"/>
        <w:spacing w:after="0" w:line="287"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685"/>
        <w:spacing w:after="0" w:line="254" w:lineRule="auto"/>
        <w:rPr>
          <w:sz w:val="20"/>
          <w:szCs w:val="20"/>
          <w:color w:val="auto"/>
        </w:rPr>
      </w:pPr>
      <w:r>
        <w:rPr>
          <w:rFonts w:ascii="Arial" w:cs="Arial" w:eastAsia="Arial" w:hAnsi="Arial"/>
          <w:sz w:val="19"/>
          <w:szCs w:val="19"/>
          <w:color w:val="auto"/>
        </w:rPr>
        <w:t>On February 20, 2019, Green Dot Corporation (the “Company”) announced that it has appointed Rob Strub as Chief Operating Officer of the Company. The Company also announced that, in connection with Mr. Strub’s appointment, effective February 25, 2019, Kuan Archer was appointed President, Chief Product and Technology Officer of the Company and will no longer serve as the Company’s Chief Operating Officer.</w:t>
      </w:r>
    </w:p>
    <w:p>
      <w:pPr>
        <w:spacing w:after="0" w:line="216" w:lineRule="exact"/>
        <w:rPr>
          <w:sz w:val="20"/>
          <w:szCs w:val="20"/>
          <w:color w:val="auto"/>
        </w:rPr>
      </w:pPr>
    </w:p>
    <w:p>
      <w:pPr>
        <w:jc w:val="both"/>
        <w:ind w:firstLine="685"/>
        <w:spacing w:after="0" w:line="254" w:lineRule="auto"/>
        <w:rPr>
          <w:sz w:val="20"/>
          <w:szCs w:val="20"/>
          <w:color w:val="auto"/>
        </w:rPr>
      </w:pPr>
      <w:r>
        <w:rPr>
          <w:rFonts w:ascii="Arial" w:cs="Arial" w:eastAsia="Arial" w:hAnsi="Arial"/>
          <w:sz w:val="19"/>
          <w:szCs w:val="19"/>
          <w:color w:val="auto"/>
        </w:rPr>
        <w:t>Mr. Strub will begin serving as the Company’s Chief Operating Officer on February 25, 2019. Prior to joining the Company, he served in a number of positions at Citigroup, a financial services company, from June 1997 to February 2019, most recently as Chief Operations Officer for the U.S. Consumer Bank for Citi from October 2018 to February 2019. Mr. Strub holds a B.S. in finance from Miami University and an M.B.A. from the University of Cincinnati.</w:t>
      </w:r>
    </w:p>
    <w:p>
      <w:pPr>
        <w:spacing w:after="0" w:line="216"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9"/>
          <w:szCs w:val="19"/>
          <w:color w:val="auto"/>
        </w:rPr>
        <w:t>Pursuant to his offer letter, Mr. Strub will receive an annual base salary of $450,000 and will be eligible to receive an annual bonus under the Company’s Executive Officer Incentive Bonus Plan of up to 100% of his base salary, subject to the Company’s standard bonus practices and policies. In addition, subject to the approval of the Compensation Committee of the Company’s Board of Directors, Mr. Strub will be granted restricted stock unit awards covering 20,000 shares of Class A common stock and he will be eligible to receive performance-based restricted stock units with a target grant fair date value equal to $600,000 on an annual basis, beginning with 2019.</w:t>
      </w:r>
    </w:p>
    <w:p>
      <w:pPr>
        <w:spacing w:after="0" w:line="217"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9"/>
          <w:szCs w:val="19"/>
          <w:color w:val="auto"/>
        </w:rPr>
        <w:t>In connection with his appointment, Mr. Strub will also enter into the Company’s standard form of indemnification agreement for its officers and directors. This agreement requires the Company to, among other things, hold harmless and indemnify Mr. Strub to the fullest extent authorized by the Company’s certificate of incorporation, bylaws and Delaware law, and against any and all expenses, judgments, fines and settlement amounts actually and reasonably incurred by him in connection with any threatened, pending or completed action, suit or proceeding arising out of his services as an officer.</w:t>
      </w:r>
    </w:p>
    <w:p>
      <w:pPr>
        <w:sectPr>
          <w:pgSz w:w="12240" w:h="15840" w:orient="portrait"/>
          <w:cols w:equalWidth="0" w:num="1">
            <w:col w:w="12000"/>
          </w:cols>
          <w:pgMar w:left="120" w:top="574" w:right="12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9"/>
          <w:szCs w:val="19"/>
          <w:b w:val="1"/>
          <w:bCs w:val="1"/>
          <w:color w:val="auto"/>
        </w:rPr>
        <w:t>SIGNATURES</w:t>
      </w:r>
    </w:p>
    <w:p>
      <w:pPr>
        <w:spacing w:after="0" w:line="31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GREEN DOT CORPORATION</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Arial" w:cs="Arial" w:eastAsia="Arial" w:hAnsi="Arial"/>
                <w:sz w:val="19"/>
                <w:szCs w:val="19"/>
                <w:color w:val="auto"/>
              </w:rPr>
              <w:t>By:</w:t>
            </w:r>
          </w:p>
        </w:tc>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John C. Ricci</w:t>
            </w:r>
          </w:p>
        </w:tc>
      </w:tr>
      <w:tr>
        <w:trPr>
          <w:trHeight w:val="256"/>
        </w:trPr>
        <w:tc>
          <w:tcPr>
            <w:tcW w:w="580" w:type="dxa"/>
            <w:vAlign w:val="bottom"/>
          </w:tcPr>
          <w:p>
            <w:pPr>
              <w:spacing w:after="0"/>
              <w:rPr>
                <w:sz w:val="22"/>
                <w:szCs w:val="22"/>
                <w:color w:val="auto"/>
              </w:rPr>
            </w:pPr>
          </w:p>
        </w:tc>
        <w:tc>
          <w:tcPr>
            <w:tcW w:w="3260" w:type="dxa"/>
            <w:vAlign w:val="bottom"/>
          </w:tcPr>
          <w:p>
            <w:pPr>
              <w:ind w:left="40"/>
              <w:spacing w:after="0"/>
              <w:rPr>
                <w:sz w:val="20"/>
                <w:szCs w:val="20"/>
                <w:color w:val="auto"/>
              </w:rPr>
            </w:pPr>
            <w:r>
              <w:rPr>
                <w:rFonts w:ascii="Arial" w:cs="Arial" w:eastAsia="Arial" w:hAnsi="Arial"/>
                <w:sz w:val="19"/>
                <w:szCs w:val="19"/>
                <w:color w:val="auto"/>
              </w:rPr>
              <w:t>John C. Ricci</w:t>
            </w:r>
          </w:p>
        </w:tc>
      </w:tr>
      <w:tr>
        <w:trPr>
          <w:trHeight w:val="285"/>
        </w:trPr>
        <w:tc>
          <w:tcPr>
            <w:tcW w:w="580" w:type="dxa"/>
            <w:vAlign w:val="bottom"/>
          </w:tcPr>
          <w:p>
            <w:pPr>
              <w:spacing w:after="0"/>
              <w:rPr>
                <w:sz w:val="24"/>
                <w:szCs w:val="24"/>
                <w:color w:val="auto"/>
              </w:rPr>
            </w:pPr>
          </w:p>
        </w:tc>
        <w:tc>
          <w:tcPr>
            <w:tcW w:w="3260" w:type="dxa"/>
            <w:vAlign w:val="bottom"/>
          </w:tcPr>
          <w:p>
            <w:pPr>
              <w:ind w:left="40"/>
              <w:spacing w:after="0"/>
              <w:rPr>
                <w:sz w:val="20"/>
                <w:szCs w:val="20"/>
                <w:color w:val="auto"/>
              </w:rPr>
            </w:pPr>
            <w:r>
              <w:rPr>
                <w:rFonts w:ascii="Arial" w:cs="Arial" w:eastAsia="Arial" w:hAnsi="Arial"/>
                <w:sz w:val="19"/>
                <w:szCs w:val="19"/>
                <w:color w:val="auto"/>
              </w:rPr>
              <w:t>General Counsel and Secretary</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Date: February 20, 2019</w:t>
      </w:r>
    </w:p>
    <w:sectPr>
      <w:pgSz w:w="12240" w:h="15840" w:orient="portrait"/>
      <w:cols w:equalWidth="0" w:num="1">
        <w:col w:w="11740"/>
      </w:cols>
      <w:pgMar w:left="120" w:top="688" w:right="3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2019-12-15T14:43:25Z</dcterms:created>
  <dcterms:modified xsi:type="dcterms:W3CDTF">2019-12-15T14:43:25Z</dcterms:modified>
</cp:coreProperties>
</file>