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0"/>
        <w:spacing w:after="0"/>
        <w:rPr>
          <w:sz w:val="20"/>
          <w:szCs w:val="20"/>
          <w:color w:val="auto"/>
        </w:rPr>
      </w:pPr>
      <w:r>
        <w:rPr>
          <w:rFonts w:ascii="Arial" w:cs="Arial" w:eastAsia="Arial" w:hAnsi="Arial"/>
          <w:sz w:val="25"/>
          <w:szCs w:val="25"/>
          <w:b w:val="1"/>
          <w:bCs w:val="1"/>
          <w:color w:val="auto"/>
        </w:rPr>
        <w:t>UNITED STATES</w:t>
      </w:r>
    </w:p>
    <w:p>
      <w:pPr>
        <w:spacing w:after="0" w:line="42" w:lineRule="exact"/>
        <w:rPr>
          <w:sz w:val="24"/>
          <w:szCs w:val="24"/>
          <w:color w:val="auto"/>
        </w:rPr>
      </w:pPr>
    </w:p>
    <w:p>
      <w:pPr>
        <w:jc w:val="center"/>
        <w:ind w:right="150"/>
        <w:spacing w:after="0"/>
        <w:rPr>
          <w:sz w:val="20"/>
          <w:szCs w:val="20"/>
          <w:color w:val="auto"/>
        </w:rPr>
      </w:pPr>
      <w:r>
        <w:rPr>
          <w:rFonts w:ascii="Arial" w:cs="Arial" w:eastAsia="Arial" w:hAnsi="Arial"/>
          <w:sz w:val="25"/>
          <w:szCs w:val="25"/>
          <w:b w:val="1"/>
          <w:bCs w:val="1"/>
          <w:color w:val="auto"/>
        </w:rPr>
        <w:t>SECURITIES AND EXCHANGE COMMISSION</w:t>
      </w:r>
    </w:p>
    <w:p>
      <w:pPr>
        <w:spacing w:after="0" w:line="15" w:lineRule="exact"/>
        <w:rPr>
          <w:sz w:val="24"/>
          <w:szCs w:val="24"/>
          <w:color w:val="auto"/>
        </w:rPr>
      </w:pPr>
    </w:p>
    <w:p>
      <w:pPr>
        <w:jc w:val="center"/>
        <w:ind w:right="150"/>
        <w:spacing w:after="0"/>
        <w:rPr>
          <w:sz w:val="20"/>
          <w:szCs w:val="20"/>
          <w:color w:val="auto"/>
        </w:rPr>
      </w:pPr>
      <w:r>
        <w:rPr>
          <w:rFonts w:ascii="Arial" w:cs="Arial" w:eastAsia="Arial" w:hAnsi="Arial"/>
          <w:sz w:val="22"/>
          <w:szCs w:val="22"/>
          <w:b w:val="1"/>
          <w:bCs w:val="1"/>
          <w:color w:val="auto"/>
        </w:rPr>
        <w:t>Washington, D.C. 20549</w:t>
      </w:r>
    </w:p>
    <w:p>
      <w:pPr>
        <w:spacing w:after="0" w:line="217" w:lineRule="exact"/>
        <w:rPr>
          <w:sz w:val="24"/>
          <w:szCs w:val="24"/>
          <w:color w:val="auto"/>
        </w:rPr>
      </w:pPr>
    </w:p>
    <w:p>
      <w:pPr>
        <w:jc w:val="center"/>
        <w:ind w:right="150"/>
        <w:spacing w:after="0"/>
        <w:rPr>
          <w:sz w:val="20"/>
          <w:szCs w:val="20"/>
          <w:color w:val="auto"/>
        </w:rPr>
      </w:pPr>
      <w:r>
        <w:rPr>
          <w:rFonts w:ascii="Arial" w:cs="Arial" w:eastAsia="Arial" w:hAnsi="Arial"/>
          <w:sz w:val="32"/>
          <w:szCs w:val="32"/>
          <w:b w:val="1"/>
          <w:bCs w:val="1"/>
          <w:color w:val="auto"/>
        </w:rPr>
        <w:t>FORM 8-K</w:t>
      </w:r>
    </w:p>
    <w:p>
      <w:pPr>
        <w:spacing w:after="0" w:line="284" w:lineRule="exact"/>
        <w:rPr>
          <w:sz w:val="24"/>
          <w:szCs w:val="24"/>
          <w:color w:val="auto"/>
        </w:rPr>
      </w:pPr>
    </w:p>
    <w:p>
      <w:pPr>
        <w:jc w:val="center"/>
        <w:ind w:right="150"/>
        <w:spacing w:after="0"/>
        <w:rPr>
          <w:sz w:val="20"/>
          <w:szCs w:val="20"/>
          <w:color w:val="auto"/>
        </w:rPr>
      </w:pPr>
      <w:r>
        <w:rPr>
          <w:rFonts w:ascii="Arial" w:cs="Arial" w:eastAsia="Arial" w:hAnsi="Arial"/>
          <w:sz w:val="22"/>
          <w:szCs w:val="22"/>
          <w:b w:val="1"/>
          <w:bCs w:val="1"/>
          <w:color w:val="auto"/>
        </w:rPr>
        <w:t>CURRENT REPORT</w:t>
      </w:r>
    </w:p>
    <w:p>
      <w:pPr>
        <w:spacing w:after="0" w:line="260" w:lineRule="exact"/>
        <w:rPr>
          <w:sz w:val="24"/>
          <w:szCs w:val="24"/>
          <w:color w:val="auto"/>
        </w:rPr>
      </w:pPr>
    </w:p>
    <w:p>
      <w:pPr>
        <w:jc w:val="center"/>
        <w:ind w:right="150"/>
        <w:spacing w:after="0"/>
        <w:rPr>
          <w:sz w:val="20"/>
          <w:szCs w:val="20"/>
          <w:color w:val="auto"/>
        </w:rPr>
      </w:pPr>
      <w:r>
        <w:rPr>
          <w:rFonts w:ascii="Arial" w:cs="Arial" w:eastAsia="Arial" w:hAnsi="Arial"/>
          <w:sz w:val="22"/>
          <w:szCs w:val="22"/>
          <w:b w:val="1"/>
          <w:bCs w:val="1"/>
          <w:color w:val="auto"/>
        </w:rPr>
        <w:t>Pursuant to Section 13 or 15(d) of</w:t>
      </w:r>
    </w:p>
    <w:p>
      <w:pPr>
        <w:spacing w:after="0" w:line="30" w:lineRule="exact"/>
        <w:rPr>
          <w:sz w:val="24"/>
          <w:szCs w:val="24"/>
          <w:color w:val="auto"/>
        </w:rPr>
      </w:pPr>
    </w:p>
    <w:p>
      <w:pPr>
        <w:jc w:val="center"/>
        <w:ind w:right="150"/>
        <w:spacing w:after="0"/>
        <w:rPr>
          <w:sz w:val="20"/>
          <w:szCs w:val="20"/>
          <w:color w:val="auto"/>
        </w:rPr>
      </w:pPr>
      <w:r>
        <w:rPr>
          <w:rFonts w:ascii="Arial" w:cs="Arial" w:eastAsia="Arial" w:hAnsi="Arial"/>
          <w:sz w:val="22"/>
          <w:szCs w:val="22"/>
          <w:b w:val="1"/>
          <w:bCs w:val="1"/>
          <w:color w:val="auto"/>
        </w:rPr>
        <w:t>the Securities Exchange Act of 1934</w:t>
      </w:r>
    </w:p>
    <w:p>
      <w:pPr>
        <w:spacing w:after="0" w:line="234" w:lineRule="exact"/>
        <w:rPr>
          <w:sz w:val="24"/>
          <w:szCs w:val="24"/>
          <w:color w:val="auto"/>
        </w:rPr>
      </w:pPr>
    </w:p>
    <w:p>
      <w:pPr>
        <w:jc w:val="center"/>
        <w:ind w:right="150"/>
        <w:spacing w:after="0"/>
        <w:rPr>
          <w:sz w:val="20"/>
          <w:szCs w:val="20"/>
          <w:color w:val="auto"/>
        </w:rPr>
      </w:pPr>
      <w:r>
        <w:rPr>
          <w:rFonts w:ascii="Arial" w:cs="Arial" w:eastAsia="Arial" w:hAnsi="Arial"/>
          <w:sz w:val="21"/>
          <w:szCs w:val="21"/>
          <w:b w:val="1"/>
          <w:bCs w:val="1"/>
          <w:color w:val="auto"/>
        </w:rPr>
        <w:t>Date of Report (Date of Earliest Event Reported): October 4, 2021</w:t>
      </w:r>
    </w:p>
    <w:p>
      <w:pPr>
        <w:spacing w:after="0" w:line="260" w:lineRule="exact"/>
        <w:rPr>
          <w:sz w:val="24"/>
          <w:szCs w:val="24"/>
          <w:color w:val="auto"/>
        </w:rPr>
      </w:pPr>
    </w:p>
    <w:p>
      <w:pPr>
        <w:jc w:val="center"/>
        <w:ind w:right="150"/>
        <w:spacing w:after="0"/>
        <w:rPr>
          <w:sz w:val="20"/>
          <w:szCs w:val="20"/>
          <w:color w:val="auto"/>
        </w:rPr>
      </w:pPr>
      <w:r>
        <w:rPr>
          <w:rFonts w:ascii="Arial" w:cs="Arial" w:eastAsia="Arial" w:hAnsi="Arial"/>
          <w:sz w:val="40"/>
          <w:szCs w:val="40"/>
          <w:b w:val="1"/>
          <w:bCs w:val="1"/>
          <w:color w:val="auto"/>
        </w:rPr>
        <w:t>Green Dot Corporation</w:t>
      </w:r>
    </w:p>
    <w:p>
      <w:pPr>
        <w:spacing w:after="0" w:line="45" w:lineRule="exact"/>
        <w:rPr>
          <w:sz w:val="24"/>
          <w:szCs w:val="24"/>
          <w:color w:val="auto"/>
        </w:rPr>
      </w:pPr>
    </w:p>
    <w:p>
      <w:pPr>
        <w:jc w:val="center"/>
        <w:ind w:right="150"/>
        <w:spacing w:after="0"/>
        <w:rPr>
          <w:sz w:val="20"/>
          <w:szCs w:val="20"/>
          <w:color w:val="auto"/>
        </w:rPr>
      </w:pPr>
      <w:r>
        <w:rPr>
          <w:rFonts w:ascii="Arial" w:cs="Arial" w:eastAsia="Arial" w:hAnsi="Arial"/>
          <w:sz w:val="16"/>
          <w:szCs w:val="16"/>
          <w:i w:val="1"/>
          <w:iCs w:val="1"/>
          <w:color w:val="auto"/>
        </w:rPr>
        <w:t>(Exact Name of the Registrant as Specified in Its Charter)</w:t>
      </w:r>
    </w:p>
    <w:p>
      <w:pPr>
        <w:spacing w:after="0" w:line="242" w:lineRule="exact"/>
        <w:rPr>
          <w:sz w:val="24"/>
          <w:szCs w:val="24"/>
          <w:color w:val="auto"/>
        </w:rPr>
      </w:pPr>
    </w:p>
    <w:p>
      <w:pPr>
        <w:jc w:val="center"/>
        <w:ind w:right="150"/>
        <w:spacing w:after="0"/>
        <w:rPr>
          <w:sz w:val="20"/>
          <w:szCs w:val="20"/>
          <w:color w:val="auto"/>
        </w:rPr>
      </w:pPr>
      <w:r>
        <w:rPr>
          <w:rFonts w:ascii="Arial" w:cs="Arial" w:eastAsia="Arial" w:hAnsi="Arial"/>
          <w:sz w:val="16"/>
          <w:szCs w:val="16"/>
          <w:b w:val="1"/>
          <w:bCs w:val="1"/>
          <w:color w:val="auto"/>
        </w:rPr>
        <w:t>Delaware</w:t>
      </w:r>
    </w:p>
    <w:p>
      <w:pPr>
        <w:spacing w:after="0" w:line="25" w:lineRule="exact"/>
        <w:rPr>
          <w:sz w:val="24"/>
          <w:szCs w:val="24"/>
          <w:color w:val="auto"/>
        </w:rPr>
      </w:pPr>
    </w:p>
    <w:p>
      <w:pPr>
        <w:jc w:val="center"/>
        <w:ind w:right="150"/>
        <w:spacing w:after="0"/>
        <w:rPr>
          <w:sz w:val="20"/>
          <w:szCs w:val="20"/>
          <w:color w:val="auto"/>
        </w:rPr>
      </w:pPr>
      <w:r>
        <w:rPr>
          <w:rFonts w:ascii="Arial" w:cs="Arial" w:eastAsia="Arial" w:hAnsi="Arial"/>
          <w:sz w:val="16"/>
          <w:szCs w:val="16"/>
          <w:i w:val="1"/>
          <w:iCs w:val="1"/>
          <w:color w:val="auto"/>
        </w:rPr>
        <w:t>(State or Other Jurisdiction of Incorporation)</w:t>
      </w:r>
    </w:p>
    <w:p>
      <w:pPr>
        <w:sectPr>
          <w:pgSz w:w="11900" w:h="16838" w:orient="portrait"/>
          <w:cols w:equalWidth="0" w:num="1">
            <w:col w:w="11070"/>
          </w:cols>
          <w:pgMar w:left="490" w:top="987" w:right="339" w:bottom="1440" w:gutter="0" w:footer="0" w:header="0"/>
        </w:sectPr>
      </w:pPr>
    </w:p>
    <w:p>
      <w:pPr>
        <w:spacing w:after="0" w:line="26" w:lineRule="exact"/>
        <w:rPr>
          <w:sz w:val="24"/>
          <w:szCs w:val="24"/>
          <w:color w:val="auto"/>
        </w:rPr>
      </w:pPr>
    </w:p>
    <w:p>
      <w:pPr>
        <w:jc w:val="center"/>
        <w:ind w:right="1310"/>
        <w:spacing w:after="0"/>
        <w:rPr>
          <w:sz w:val="20"/>
          <w:szCs w:val="20"/>
          <w:color w:val="auto"/>
        </w:rPr>
      </w:pPr>
      <w:r>
        <w:rPr>
          <w:rFonts w:ascii="Arial" w:cs="Arial" w:eastAsia="Arial" w:hAnsi="Arial"/>
          <w:sz w:val="16"/>
          <w:szCs w:val="16"/>
          <w:b w:val="1"/>
          <w:bCs w:val="1"/>
          <w:color w:val="auto"/>
        </w:rPr>
        <w:t>001-34819</w:t>
      </w:r>
    </w:p>
    <w:p>
      <w:pPr>
        <w:spacing w:after="0" w:line="36" w:lineRule="exact"/>
        <w:rPr>
          <w:sz w:val="24"/>
          <w:szCs w:val="24"/>
          <w:color w:val="auto"/>
        </w:rPr>
      </w:pPr>
    </w:p>
    <w:p>
      <w:pPr>
        <w:jc w:val="center"/>
        <w:ind w:right="1310"/>
        <w:spacing w:after="0"/>
        <w:rPr>
          <w:sz w:val="20"/>
          <w:szCs w:val="20"/>
          <w:color w:val="auto"/>
        </w:rPr>
      </w:pPr>
      <w:r>
        <w:rPr>
          <w:rFonts w:ascii="Arial" w:cs="Arial" w:eastAsia="Arial" w:hAnsi="Arial"/>
          <w:sz w:val="16"/>
          <w:szCs w:val="16"/>
          <w:i w:val="1"/>
          <w:iCs w:val="1"/>
          <w:color w:val="auto"/>
        </w:rPr>
        <w:t>(Commission File Number)</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jc w:val="center"/>
        <w:ind w:right="1560"/>
        <w:spacing w:after="0"/>
        <w:rPr>
          <w:sz w:val="20"/>
          <w:szCs w:val="20"/>
          <w:color w:val="auto"/>
        </w:rPr>
      </w:pPr>
      <w:r>
        <w:rPr>
          <w:rFonts w:ascii="Arial" w:cs="Arial" w:eastAsia="Arial" w:hAnsi="Arial"/>
          <w:sz w:val="16"/>
          <w:szCs w:val="16"/>
          <w:b w:val="1"/>
          <w:bCs w:val="1"/>
          <w:color w:val="auto"/>
        </w:rPr>
        <w:t>95-4766827</w:t>
      </w:r>
    </w:p>
    <w:p>
      <w:pPr>
        <w:spacing w:after="0" w:line="36" w:lineRule="exact"/>
        <w:rPr>
          <w:sz w:val="24"/>
          <w:szCs w:val="24"/>
          <w:color w:val="auto"/>
        </w:rPr>
      </w:pPr>
    </w:p>
    <w:p>
      <w:pPr>
        <w:jc w:val="center"/>
        <w:ind w:right="1560"/>
        <w:spacing w:after="0"/>
        <w:rPr>
          <w:sz w:val="20"/>
          <w:szCs w:val="20"/>
          <w:color w:val="auto"/>
        </w:rPr>
      </w:pPr>
      <w:r>
        <w:rPr>
          <w:rFonts w:ascii="Arial" w:cs="Arial" w:eastAsia="Arial" w:hAnsi="Arial"/>
          <w:sz w:val="16"/>
          <w:szCs w:val="16"/>
          <w:i w:val="1"/>
          <w:iCs w:val="1"/>
          <w:color w:val="auto"/>
        </w:rPr>
        <w:t>(IRS Employer Identification No.)</w:t>
      </w:r>
    </w:p>
    <w:p>
      <w:pPr>
        <w:spacing w:after="0" w:line="150" w:lineRule="exact"/>
        <w:rPr>
          <w:sz w:val="24"/>
          <w:szCs w:val="24"/>
          <w:color w:val="auto"/>
        </w:rPr>
      </w:pPr>
    </w:p>
    <w:p>
      <w:pPr>
        <w:sectPr>
          <w:pgSz w:w="11900" w:h="16838" w:orient="portrait"/>
          <w:cols w:equalWidth="0" w:num="2">
            <w:col w:w="6430" w:space="720"/>
            <w:col w:w="3920"/>
          </w:cols>
          <w:pgMar w:left="490" w:top="987" w:right="339" w:bottom="1440" w:gutter="0" w:footer="0" w:header="0"/>
          <w:type w:val="continuous"/>
        </w:sectPr>
      </w:pPr>
    </w:p>
    <w:p>
      <w:pPr>
        <w:jc w:val="center"/>
        <w:ind w:right="530"/>
        <w:spacing w:after="0"/>
        <w:rPr>
          <w:sz w:val="20"/>
          <w:szCs w:val="20"/>
          <w:color w:val="auto"/>
        </w:rPr>
      </w:pPr>
      <w:r>
        <w:rPr>
          <w:rFonts w:ascii="Arial" w:cs="Arial" w:eastAsia="Arial" w:hAnsi="Arial"/>
          <w:sz w:val="16"/>
          <w:szCs w:val="16"/>
          <w:b w:val="1"/>
          <w:bCs w:val="1"/>
          <w:color w:val="auto"/>
        </w:rPr>
        <w:t>3465 E. Foothill Blvd.</w:t>
      </w:r>
    </w:p>
    <w:p>
      <w:pPr>
        <w:spacing w:after="0" w:line="32" w:lineRule="exact"/>
        <w:rPr>
          <w:sz w:val="24"/>
          <w:szCs w:val="24"/>
          <w:color w:val="auto"/>
        </w:rPr>
      </w:pPr>
    </w:p>
    <w:p>
      <w:pPr>
        <w:jc w:val="center"/>
        <w:ind w:right="490"/>
        <w:spacing w:after="0"/>
        <w:tabs>
          <w:tab w:leader="none" w:pos="420" w:val="left"/>
          <w:tab w:leader="none" w:pos="360" w:val="left"/>
        </w:tabs>
        <w:rPr>
          <w:sz w:val="20"/>
          <w:szCs w:val="20"/>
          <w:color w:val="auto"/>
        </w:rPr>
      </w:pPr>
      <w:r>
        <w:rPr>
          <w:rFonts w:ascii="Arial" w:cs="Arial" w:eastAsia="Arial" w:hAnsi="Arial"/>
          <w:sz w:val="16"/>
          <w:szCs w:val="16"/>
          <w:b w:val="1"/>
          <w:bCs w:val="1"/>
          <w:color w:val="auto"/>
        </w:rPr>
        <w:t>Pasadena,</w:t>
      </w:r>
      <w:r>
        <w:rPr>
          <w:sz w:val="20"/>
          <w:szCs w:val="20"/>
          <w:color w:val="auto"/>
        </w:rPr>
        <w:tab/>
      </w:r>
      <w:r>
        <w:rPr>
          <w:rFonts w:ascii="Arial" w:cs="Arial" w:eastAsia="Arial" w:hAnsi="Arial"/>
          <w:sz w:val="16"/>
          <w:szCs w:val="16"/>
          <w:b w:val="1"/>
          <w:bCs w:val="1"/>
          <w:color w:val="auto"/>
        </w:rPr>
        <w:t>California</w:t>
      </w:r>
      <w:r>
        <w:rPr>
          <w:sz w:val="20"/>
          <w:szCs w:val="20"/>
          <w:color w:val="auto"/>
        </w:rPr>
        <w:tab/>
      </w:r>
      <w:r>
        <w:rPr>
          <w:rFonts w:ascii="Arial" w:cs="Arial" w:eastAsia="Arial" w:hAnsi="Arial"/>
          <w:sz w:val="16"/>
          <w:szCs w:val="16"/>
          <w:b w:val="1"/>
          <w:bCs w:val="1"/>
          <w:color w:val="auto"/>
        </w:rPr>
        <w:t>91107</w:t>
      </w:r>
    </w:p>
    <w:p>
      <w:pPr>
        <w:spacing w:after="0" w:line="36" w:lineRule="exact"/>
        <w:rPr>
          <w:sz w:val="24"/>
          <w:szCs w:val="24"/>
          <w:color w:val="auto"/>
        </w:rPr>
      </w:pPr>
    </w:p>
    <w:p>
      <w:pPr>
        <w:jc w:val="center"/>
        <w:ind w:right="510"/>
        <w:spacing w:after="0"/>
        <w:rPr>
          <w:sz w:val="20"/>
          <w:szCs w:val="20"/>
          <w:color w:val="auto"/>
        </w:rPr>
      </w:pPr>
      <w:r>
        <w:rPr>
          <w:rFonts w:ascii="Arial" w:cs="Arial" w:eastAsia="Arial" w:hAnsi="Arial"/>
          <w:sz w:val="16"/>
          <w:szCs w:val="16"/>
          <w:i w:val="1"/>
          <w:i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jc w:val="center"/>
        <w:ind w:left="-79"/>
        <w:spacing w:after="0"/>
        <w:tabs>
          <w:tab w:leader="none" w:pos="320" w:val="left"/>
        </w:tabs>
        <w:rPr>
          <w:sz w:val="20"/>
          <w:szCs w:val="20"/>
          <w:color w:val="auto"/>
        </w:rPr>
      </w:pPr>
      <w:r>
        <w:rPr>
          <w:rFonts w:ascii="Arial" w:cs="Arial" w:eastAsia="Arial" w:hAnsi="Arial"/>
          <w:sz w:val="16"/>
          <w:szCs w:val="16"/>
          <w:b w:val="1"/>
          <w:bCs w:val="1"/>
          <w:color w:val="auto"/>
        </w:rPr>
        <w:t>(626)</w:t>
      </w:r>
      <w:r>
        <w:rPr>
          <w:sz w:val="20"/>
          <w:szCs w:val="20"/>
          <w:color w:val="auto"/>
        </w:rPr>
        <w:tab/>
      </w:r>
      <w:r>
        <w:rPr>
          <w:rFonts w:ascii="Arial" w:cs="Arial" w:eastAsia="Arial" w:hAnsi="Arial"/>
          <w:sz w:val="16"/>
          <w:szCs w:val="16"/>
          <w:b w:val="1"/>
          <w:bCs w:val="1"/>
          <w:color w:val="auto"/>
        </w:rPr>
        <w:t>765-2000</w:t>
      </w:r>
    </w:p>
    <w:p>
      <w:pPr>
        <w:spacing w:after="0" w:line="36" w:lineRule="exact"/>
        <w:rPr>
          <w:sz w:val="24"/>
          <w:szCs w:val="24"/>
          <w:color w:val="auto"/>
        </w:rPr>
      </w:pPr>
    </w:p>
    <w:p>
      <w:pPr>
        <w:jc w:val="center"/>
        <w:ind w:right="780"/>
        <w:spacing w:after="0"/>
        <w:rPr>
          <w:sz w:val="20"/>
          <w:szCs w:val="20"/>
          <w:color w:val="auto"/>
        </w:rPr>
      </w:pPr>
      <w:r>
        <w:rPr>
          <w:rFonts w:ascii="Arial" w:cs="Arial" w:eastAsia="Arial" w:hAnsi="Arial"/>
          <w:sz w:val="16"/>
          <w:szCs w:val="16"/>
          <w:i w:val="1"/>
          <w:iCs w:val="1"/>
          <w:color w:val="auto"/>
        </w:rPr>
        <w:t>(Registrant's Telephone Number, Including Area Code)</w:t>
      </w:r>
    </w:p>
    <w:p>
      <w:pPr>
        <w:spacing w:after="0" w:line="200" w:lineRule="exact"/>
        <w:rPr>
          <w:sz w:val="24"/>
          <w:szCs w:val="24"/>
          <w:color w:val="auto"/>
        </w:rPr>
      </w:pPr>
    </w:p>
    <w:p>
      <w:pPr>
        <w:sectPr>
          <w:pgSz w:w="11900" w:h="16838" w:orient="portrait"/>
          <w:cols w:equalWidth="0" w:num="2">
            <w:col w:w="5650" w:space="720"/>
            <w:col w:w="4700"/>
          </w:cols>
          <w:pgMar w:left="490" w:top="987" w:right="339" w:bottom="1440" w:gutter="0" w:footer="0" w:header="0"/>
          <w:type w:val="continuous"/>
        </w:sectPr>
      </w:pPr>
    </w:p>
    <w:p>
      <w:pPr>
        <w:spacing w:after="0" w:line="139" w:lineRule="exact"/>
        <w:rPr>
          <w:sz w:val="24"/>
          <w:szCs w:val="24"/>
          <w:color w:val="auto"/>
        </w:rPr>
      </w:pPr>
    </w:p>
    <w:p>
      <w:pPr>
        <w:jc w:val="center"/>
        <w:ind w:right="190"/>
        <w:spacing w:after="0"/>
        <w:rPr>
          <w:sz w:val="20"/>
          <w:szCs w:val="20"/>
          <w:color w:val="auto"/>
        </w:rPr>
      </w:pPr>
      <w:r>
        <w:rPr>
          <w:rFonts w:ascii="Arial" w:cs="Arial" w:eastAsia="Arial" w:hAnsi="Arial"/>
          <w:sz w:val="16"/>
          <w:szCs w:val="16"/>
          <w:b w:val="1"/>
          <w:bCs w:val="1"/>
          <w:color w:val="auto"/>
        </w:rPr>
        <w:t>Not Applicable</w:t>
      </w:r>
    </w:p>
    <w:p>
      <w:pPr>
        <w:spacing w:after="0" w:line="25" w:lineRule="exact"/>
        <w:rPr>
          <w:sz w:val="24"/>
          <w:szCs w:val="24"/>
          <w:color w:val="auto"/>
        </w:rPr>
      </w:pPr>
    </w:p>
    <w:p>
      <w:pPr>
        <w:jc w:val="center"/>
        <w:ind w:right="150"/>
        <w:spacing w:after="0"/>
        <w:rPr>
          <w:sz w:val="20"/>
          <w:szCs w:val="20"/>
          <w:color w:val="auto"/>
        </w:rPr>
      </w:pPr>
      <w:r>
        <w:rPr>
          <w:rFonts w:ascii="Arial" w:cs="Arial" w:eastAsia="Arial" w:hAnsi="Arial"/>
          <w:sz w:val="16"/>
          <w:szCs w:val="16"/>
          <w:i w:val="1"/>
          <w:iCs w:val="1"/>
          <w:color w:val="auto"/>
        </w:rPr>
        <w:t>(Former Name or Former Address, If Changed Since Last Report)</w:t>
      </w:r>
    </w:p>
    <w:p>
      <w:pPr>
        <w:spacing w:after="0" w:line="248" w:lineRule="exact"/>
        <w:rPr>
          <w:sz w:val="24"/>
          <w:szCs w:val="24"/>
          <w:color w:val="auto"/>
        </w:rPr>
      </w:pPr>
    </w:p>
    <w:p>
      <w:pPr>
        <w:ind w:left="10"/>
        <w:spacing w:after="0" w:line="260"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w:t>
      </w:r>
    </w:p>
    <w:p>
      <w:pPr>
        <w:spacing w:after="0" w:line="236" w:lineRule="exact"/>
        <w:rPr>
          <w:sz w:val="24"/>
          <w:szCs w:val="24"/>
          <w:color w:val="auto"/>
        </w:rPr>
      </w:pPr>
    </w:p>
    <w:p>
      <w:pPr>
        <w:ind w:left="210" w:hanging="210"/>
        <w:spacing w:after="0"/>
        <w:tabs>
          <w:tab w:leader="none" w:pos="21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Written communications pursuant to Rule 425 under the Securities Act (17 CFR 230.425)</w:t>
      </w:r>
    </w:p>
    <w:p>
      <w:pPr>
        <w:spacing w:after="0" w:line="270" w:lineRule="exact"/>
        <w:rPr>
          <w:rFonts w:ascii="MS PGothic" w:cs="MS PGothic" w:eastAsia="MS PGothic" w:hAnsi="MS PGothic"/>
          <w:sz w:val="18"/>
          <w:szCs w:val="18"/>
          <w:color w:val="auto"/>
        </w:rPr>
      </w:pPr>
    </w:p>
    <w:p>
      <w:pPr>
        <w:ind w:left="210" w:hanging="210"/>
        <w:spacing w:after="0"/>
        <w:tabs>
          <w:tab w:leader="none" w:pos="21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Soliciting material pursuant to Rule 14a-12 under the Exchange Act (17 CFR 240.14a-12)</w:t>
      </w:r>
    </w:p>
    <w:p>
      <w:pPr>
        <w:spacing w:after="0" w:line="270" w:lineRule="exact"/>
        <w:rPr>
          <w:rFonts w:ascii="MS PGothic" w:cs="MS PGothic" w:eastAsia="MS PGothic" w:hAnsi="MS PGothic"/>
          <w:sz w:val="18"/>
          <w:szCs w:val="18"/>
          <w:color w:val="auto"/>
        </w:rPr>
      </w:pPr>
    </w:p>
    <w:p>
      <w:pPr>
        <w:ind w:left="210" w:hanging="210"/>
        <w:spacing w:after="0"/>
        <w:tabs>
          <w:tab w:leader="none" w:pos="21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14d-2(b) under the Exchange Act (17 CFR 240.14d-2)</w:t>
      </w:r>
    </w:p>
    <w:p>
      <w:pPr>
        <w:spacing w:after="0" w:line="270" w:lineRule="exact"/>
        <w:rPr>
          <w:rFonts w:ascii="MS PGothic" w:cs="MS PGothic" w:eastAsia="MS PGothic" w:hAnsi="MS PGothic"/>
          <w:sz w:val="18"/>
          <w:szCs w:val="18"/>
          <w:color w:val="auto"/>
        </w:rPr>
      </w:pPr>
    </w:p>
    <w:p>
      <w:pPr>
        <w:ind w:left="210" w:hanging="210"/>
        <w:spacing w:after="0"/>
        <w:tabs>
          <w:tab w:leader="none" w:pos="21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13e-4(c) under the Exchange Act (17 CFR 240.13e-4(c))</w:t>
      </w:r>
    </w:p>
    <w:p>
      <w:pPr>
        <w:spacing w:after="0" w:line="142" w:lineRule="exact"/>
        <w:rPr>
          <w:rFonts w:ascii="MS PGothic" w:cs="MS PGothic" w:eastAsia="MS PGothic" w:hAnsi="MS PGothic"/>
          <w:sz w:val="18"/>
          <w:szCs w:val="18"/>
          <w:color w:val="auto"/>
        </w:rPr>
      </w:pPr>
    </w:p>
    <w:p>
      <w:pPr>
        <w:ind w:left="3230"/>
        <w:spacing w:after="0"/>
        <w:rPr>
          <w:rFonts w:ascii="MS PGothic" w:cs="MS PGothic" w:eastAsia="MS PGothic" w:hAnsi="MS PGothic"/>
          <w:sz w:val="18"/>
          <w:szCs w:val="18"/>
          <w:color w:val="auto"/>
        </w:rPr>
      </w:pPr>
      <w:r>
        <w:rPr>
          <w:rFonts w:ascii="Arial" w:cs="Arial" w:eastAsia="Arial" w:hAnsi="Arial"/>
          <w:sz w:val="16"/>
          <w:szCs w:val="16"/>
          <w:b w:val="1"/>
          <w:bCs w:val="1"/>
          <w:color w:val="auto"/>
        </w:rPr>
        <w:t>Securities registered pursuant to Section 12(b) of the Act:</w:t>
      </w:r>
    </w:p>
    <w:p>
      <w:pPr>
        <w:spacing w:after="0" w:line="125" w:lineRule="exact"/>
        <w:rPr>
          <w:sz w:val="24"/>
          <w:szCs w:val="24"/>
          <w:color w:val="auto"/>
        </w:rPr>
      </w:pPr>
    </w:p>
    <w:tbl>
      <w:tblPr>
        <w:tblLayout w:type="fixed"/>
        <w:tblInd w:w="40" w:type="dxa"/>
        <w:tblCellMar>
          <w:top w:w="0" w:type="dxa"/>
          <w:left w:w="0" w:type="dxa"/>
          <w:bottom w:w="0" w:type="dxa"/>
          <w:right w:w="0" w:type="dxa"/>
        </w:tblCellMar>
      </w:tblPr>
      <w:tr>
        <w:trPr>
          <w:trHeight w:val="229"/>
        </w:trPr>
        <w:tc>
          <w:tcPr>
            <w:tcW w:w="40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Title of each class:</w:t>
            </w:r>
          </w:p>
        </w:tc>
        <w:tc>
          <w:tcPr>
            <w:tcW w:w="22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Trading Symbol(s):</w:t>
            </w:r>
          </w:p>
        </w:tc>
        <w:tc>
          <w:tcPr>
            <w:tcW w:w="45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207"/>
        </w:trPr>
        <w:tc>
          <w:tcPr>
            <w:tcW w:w="40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Class A Common Stock, $0.001 par value</w:t>
            </w:r>
          </w:p>
        </w:tc>
        <w:tc>
          <w:tcPr>
            <w:tcW w:w="2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GDOT</w:t>
            </w:r>
          </w:p>
        </w:tc>
        <w:tc>
          <w:tcPr>
            <w:tcW w:w="4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New York Stock Exchange</w:t>
            </w:r>
          </w:p>
        </w:tc>
      </w:tr>
    </w:tbl>
    <w:p>
      <w:pPr>
        <w:spacing w:after="0" w:line="204" w:lineRule="exact"/>
        <w:rPr>
          <w:sz w:val="24"/>
          <w:szCs w:val="24"/>
          <w:color w:val="auto"/>
        </w:rPr>
      </w:pPr>
    </w:p>
    <w:p>
      <w:pPr>
        <w:ind w:left="10"/>
        <w:spacing w:after="0" w:line="260"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38" w:lineRule="exact"/>
        <w:rPr>
          <w:sz w:val="24"/>
          <w:szCs w:val="24"/>
          <w:color w:val="auto"/>
        </w:rPr>
      </w:pPr>
    </w:p>
    <w:p>
      <w:pPr>
        <w:ind w:left="8930"/>
        <w:spacing w:after="0" w:line="196"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7"/>
          <w:szCs w:val="17"/>
          <w:color w:val="auto"/>
        </w:rPr>
        <w:t>☐</w:t>
      </w:r>
    </w:p>
    <w:p>
      <w:pPr>
        <w:spacing w:after="0" w:line="177" w:lineRule="exact"/>
        <w:rPr>
          <w:sz w:val="24"/>
          <w:szCs w:val="24"/>
          <w:color w:val="auto"/>
        </w:rPr>
      </w:pPr>
    </w:p>
    <w:p>
      <w:pPr>
        <w:ind w:left="10" w:right="20"/>
        <w:spacing w:after="0" w:line="212"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-114935</wp:posOffset>
            </wp:positionH>
            <wp:positionV relativeFrom="paragraph">
              <wp:posOffset>532130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70"/>
          </w:cols>
          <w:pgMar w:left="490" w:top="987"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180" w:lineRule="exact"/>
        <w:rPr>
          <w:sz w:val="20"/>
          <w:szCs w:val="20"/>
          <w:color w:val="auto"/>
        </w:rPr>
      </w:pPr>
    </w:p>
    <w:p>
      <w:pPr>
        <w:jc w:val="both"/>
        <w:ind w:firstLine="324"/>
        <w:spacing w:after="0" w:line="227" w:lineRule="auto"/>
        <w:rPr>
          <w:sz w:val="20"/>
          <w:szCs w:val="20"/>
          <w:color w:val="auto"/>
        </w:rPr>
      </w:pPr>
      <w:r>
        <w:rPr>
          <w:rFonts w:ascii="Arial" w:cs="Arial" w:eastAsia="Arial" w:hAnsi="Arial"/>
          <w:sz w:val="18"/>
          <w:szCs w:val="18"/>
          <w:color w:val="auto"/>
        </w:rPr>
        <w:t>As previously disclosed, on May 13, 2021, Green Dot Corporation (the “Company”) entered into an Asset Purchase Agreement (the “Purchase Agreement”) with Republic Bank &amp; Trust Company (“Republic”) providing for the purchase by the Company, upon the terms and subject to the conditions set forth therein, of substantially all of the assets and operations of Republic’s Tax Refund Solutions business (such transaction, the “Sale Transaction”).</w:t>
      </w:r>
    </w:p>
    <w:p>
      <w:pPr>
        <w:spacing w:after="0" w:line="216" w:lineRule="exact"/>
        <w:rPr>
          <w:sz w:val="20"/>
          <w:szCs w:val="20"/>
          <w:color w:val="auto"/>
        </w:rPr>
      </w:pPr>
    </w:p>
    <w:p>
      <w:pPr>
        <w:jc w:val="both"/>
        <w:ind w:firstLine="324"/>
        <w:spacing w:after="0" w:line="235" w:lineRule="auto"/>
        <w:rPr>
          <w:sz w:val="20"/>
          <w:szCs w:val="20"/>
          <w:color w:val="auto"/>
        </w:rPr>
      </w:pPr>
      <w:r>
        <w:rPr>
          <w:rFonts w:ascii="Arial" w:cs="Arial" w:eastAsia="Arial" w:hAnsi="Arial"/>
          <w:sz w:val="18"/>
          <w:szCs w:val="18"/>
          <w:color w:val="auto"/>
        </w:rPr>
        <w:t>On October 4, 2021, the Company announced that it has been unable to obtain the Federal Reserve’s approval of or non-objection to the Sale Transaction. As a result, the Sale Transaction will not be consummated.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536575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2" w:name="page3"/>
    <w:bookmarkEnd w:id="2"/>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19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GREEN DOT CORPORATION</w:t>
      </w:r>
    </w:p>
    <w:p>
      <w:pPr>
        <w:spacing w:after="0" w:line="315"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Kristina Lockwood</w:t>
            </w:r>
          </w:p>
        </w:tc>
      </w:tr>
      <w:tr>
        <w:trPr>
          <w:trHeight w:val="223"/>
        </w:trPr>
        <w:tc>
          <w:tcPr>
            <w:tcW w:w="680" w:type="dxa"/>
            <w:vAlign w:val="bottom"/>
          </w:tcPr>
          <w:p>
            <w:pPr>
              <w:spacing w:after="0"/>
              <w:rPr>
                <w:sz w:val="19"/>
                <w:szCs w:val="19"/>
                <w:color w:val="auto"/>
              </w:rPr>
            </w:pPr>
          </w:p>
        </w:tc>
        <w:tc>
          <w:tcPr>
            <w:tcW w:w="3740" w:type="dxa"/>
            <w:vAlign w:val="bottom"/>
          </w:tcPr>
          <w:p>
            <w:pPr>
              <w:ind w:left="20"/>
              <w:spacing w:after="0"/>
              <w:rPr>
                <w:sz w:val="20"/>
                <w:szCs w:val="20"/>
                <w:color w:val="auto"/>
              </w:rPr>
            </w:pPr>
            <w:r>
              <w:rPr>
                <w:rFonts w:ascii="Arial" w:cs="Arial" w:eastAsia="Arial" w:hAnsi="Arial"/>
                <w:sz w:val="18"/>
                <w:szCs w:val="18"/>
                <w:color w:val="auto"/>
              </w:rPr>
              <w:t>Kristina Lockwood</w:t>
            </w:r>
          </w:p>
        </w:tc>
      </w:tr>
      <w:tr>
        <w:trPr>
          <w:trHeight w:val="229"/>
        </w:trPr>
        <w:tc>
          <w:tcPr>
            <w:tcW w:w="680" w:type="dxa"/>
            <w:vAlign w:val="bottom"/>
          </w:tcPr>
          <w:p>
            <w:pPr>
              <w:spacing w:after="0"/>
              <w:rPr>
                <w:sz w:val="19"/>
                <w:szCs w:val="19"/>
                <w:color w:val="auto"/>
              </w:rPr>
            </w:pPr>
          </w:p>
        </w:tc>
        <w:tc>
          <w:tcPr>
            <w:tcW w:w="3740" w:type="dxa"/>
            <w:vAlign w:val="bottom"/>
          </w:tcPr>
          <w:p>
            <w:pPr>
              <w:ind w:left="20"/>
              <w:spacing w:after="0"/>
              <w:rPr>
                <w:sz w:val="20"/>
                <w:szCs w:val="20"/>
                <w:color w:val="auto"/>
              </w:rPr>
            </w:pPr>
            <w:r>
              <w:rPr>
                <w:rFonts w:ascii="Arial" w:cs="Arial" w:eastAsia="Arial" w:hAnsi="Arial"/>
                <w:sz w:val="18"/>
                <w:szCs w:val="18"/>
                <w:color w:val="auto"/>
              </w:rPr>
              <w:t>General Counsel and Secretary</w:t>
            </w:r>
          </w:p>
        </w:tc>
      </w:tr>
    </w:tbl>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Date: October 4, 2021</w:t>
      </w:r>
    </w:p>
    <w:sectPr>
      <w:pgSz w:w="11900" w:h="16838" w:orient="portrait"/>
      <w:cols w:equalWidth="0" w:num="1">
        <w:col w:w="11120"/>
      </w:cols>
      <w:pgMar w:left="320" w:top="886"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2021-10-05T05:08:58Z</dcterms:created>
  <dcterms:modified xsi:type="dcterms:W3CDTF">2021-10-05T05:08:58Z</dcterms:modified>
</cp:coreProperties>
</file>