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27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248920</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t>UNITED STATES</w:t>
      </w:r>
    </w:p>
    <w:p>
      <w:pPr>
        <w:spacing w:after="0" w:line="3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9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Pursuant to Section 13 or 15(d) of</w:t>
      </w:r>
    </w:p>
    <w:p>
      <w:pPr>
        <w:spacing w:after="0" w:line="2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the Securities Exchange Act of 1934</w:t>
      </w:r>
    </w:p>
    <w:p>
      <w:pPr>
        <w:spacing w:after="0" w:line="17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16, 2026</w:t>
      </w:r>
    </w:p>
    <w:p>
      <w:pPr>
        <w:spacing w:after="0" w:line="17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7"/>
          <w:szCs w:val="37"/>
          <w:b w:val="1"/>
          <w:bCs w:val="1"/>
          <w:color w:val="auto"/>
        </w:rPr>
        <w:t>Green Dot Corporation</w:t>
      </w:r>
    </w:p>
    <w:p>
      <w:pPr>
        <w:spacing w:after="0" w:line="42"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i w:val="1"/>
          <w:iCs w:val="1"/>
          <w:color w:val="auto"/>
        </w:rPr>
        <w:t>(Exact Name of the Registrant as Specified in Its Charter)</w:t>
      </w:r>
    </w:p>
    <w:p>
      <w:pPr>
        <w:spacing w:after="0" w:line="173" w:lineRule="exact"/>
        <w:rPr>
          <w:sz w:val="24"/>
          <w:szCs w:val="24"/>
          <w:color w:val="auto"/>
        </w:rPr>
      </w:pPr>
    </w:p>
    <w:p>
      <w:pPr>
        <w:jc w:val="center"/>
        <w:ind w:right="5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5"/>
          <w:szCs w:val="15"/>
          <w:i w:val="1"/>
          <w:iCs w:val="1"/>
          <w:color w:val="auto"/>
        </w:rPr>
        <w:t>(State or Other Jurisdiction of Incorporation)</w:t>
      </w:r>
    </w:p>
    <w:p>
      <w:pPr>
        <w:sectPr>
          <w:pgSz w:w="11900" w:h="16838" w:orient="portrait"/>
          <w:cols w:equalWidth="0" w:num="1">
            <w:col w:w="11269"/>
          </w:cols>
          <w:pgMar w:left="311" w:top="459" w:right="319" w:bottom="1440" w:gutter="0" w:footer="0" w:header="0"/>
        </w:sectPr>
      </w:pPr>
    </w:p>
    <w:p>
      <w:pPr>
        <w:spacing w:after="0" w:line="175" w:lineRule="exact"/>
        <w:rPr>
          <w:sz w:val="24"/>
          <w:szCs w:val="24"/>
          <w:color w:val="auto"/>
        </w:rPr>
      </w:pPr>
    </w:p>
    <w:p>
      <w:pPr>
        <w:jc w:val="center"/>
        <w:ind w:right="1211"/>
        <w:spacing w:after="0"/>
        <w:rPr>
          <w:sz w:val="20"/>
          <w:szCs w:val="20"/>
          <w:color w:val="auto"/>
        </w:rPr>
      </w:pPr>
      <w:r>
        <w:rPr>
          <w:rFonts w:ascii="Times New Roman" w:cs="Times New Roman" w:eastAsia="Times New Roman" w:hAnsi="Times New Roman"/>
          <w:sz w:val="15"/>
          <w:szCs w:val="15"/>
          <w:b w:val="1"/>
          <w:bCs w:val="1"/>
          <w:color w:val="auto"/>
        </w:rPr>
        <w:t>001-34819</w:t>
      </w:r>
    </w:p>
    <w:p>
      <w:pPr>
        <w:spacing w:after="0" w:line="29" w:lineRule="exact"/>
        <w:rPr>
          <w:sz w:val="24"/>
          <w:szCs w:val="24"/>
          <w:color w:val="auto"/>
        </w:rPr>
      </w:pPr>
    </w:p>
    <w:p>
      <w:pPr>
        <w:jc w:val="center"/>
        <w:ind w:right="1211"/>
        <w:spacing w:after="0"/>
        <w:rPr>
          <w:sz w:val="20"/>
          <w:szCs w:val="20"/>
          <w:color w:val="auto"/>
        </w:rPr>
      </w:pPr>
      <w:r>
        <w:rPr>
          <w:rFonts w:ascii="Times New Roman" w:cs="Times New Roman" w:eastAsia="Times New Roman" w:hAnsi="Times New Roman"/>
          <w:sz w:val="15"/>
          <w:szCs w:val="15"/>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5"/>
          <w:szCs w:val="15"/>
          <w:b w:val="1"/>
          <w:bCs w:val="1"/>
          <w:color w:val="auto"/>
        </w:rPr>
        <w:t>95-4766827</w:t>
      </w:r>
    </w:p>
    <w:p>
      <w:pPr>
        <w:spacing w:after="0" w:line="2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5"/>
          <w:szCs w:val="15"/>
          <w:i w:val="1"/>
          <w:iCs w:val="1"/>
          <w:color w:val="auto"/>
        </w:rPr>
        <w:t>(IRS Employer Identification No.)</w:t>
      </w:r>
    </w:p>
    <w:p>
      <w:pPr>
        <w:spacing w:after="0" w:line="175" w:lineRule="exact"/>
        <w:rPr>
          <w:sz w:val="24"/>
          <w:szCs w:val="24"/>
          <w:color w:val="auto"/>
        </w:rPr>
      </w:pPr>
    </w:p>
    <w:p>
      <w:pPr>
        <w:sectPr>
          <w:pgSz w:w="11900" w:h="16838" w:orient="portrait"/>
          <w:cols w:equalWidth="0" w:num="2">
            <w:col w:w="6749" w:space="720"/>
            <w:col w:w="3800"/>
          </w:cols>
          <w:pgMar w:left="311" w:top="459" w:right="319" w:bottom="1440" w:gutter="0" w:footer="0" w:header="0"/>
          <w:type w:val="continuous"/>
        </w:sectPr>
      </w:pPr>
    </w:p>
    <w:p>
      <w:pPr>
        <w:jc w:val="center"/>
        <w:ind w:right="831"/>
        <w:spacing w:after="0"/>
        <w:rPr>
          <w:sz w:val="20"/>
          <w:szCs w:val="20"/>
          <w:color w:val="auto"/>
        </w:rPr>
      </w:pPr>
      <w:r>
        <w:rPr>
          <w:rFonts w:ascii="Times New Roman" w:cs="Times New Roman" w:eastAsia="Times New Roman" w:hAnsi="Times New Roman"/>
          <w:sz w:val="15"/>
          <w:szCs w:val="15"/>
          <w:b w:val="1"/>
          <w:bCs w:val="1"/>
          <w:color w:val="auto"/>
        </w:rPr>
        <w:t>1675 N. Freedom Blvd (200 West) Building 1</w:t>
      </w:r>
    </w:p>
    <w:p>
      <w:pPr>
        <w:spacing w:after="0" w:line="29" w:lineRule="exact"/>
        <w:rPr>
          <w:sz w:val="24"/>
          <w:szCs w:val="24"/>
          <w:color w:val="auto"/>
        </w:rPr>
      </w:pPr>
    </w:p>
    <w:p>
      <w:pPr>
        <w:jc w:val="center"/>
        <w:ind w:right="851"/>
        <w:spacing w:after="0"/>
        <w:tabs>
          <w:tab w:leader="none" w:pos="880" w:val="left"/>
          <w:tab w:leader="none" w:pos="900" w:val="left"/>
        </w:tabs>
        <w:rPr>
          <w:sz w:val="20"/>
          <w:szCs w:val="20"/>
          <w:color w:val="auto"/>
        </w:rPr>
      </w:pPr>
      <w:r>
        <w:rPr>
          <w:rFonts w:ascii="Times New Roman" w:cs="Times New Roman" w:eastAsia="Times New Roman" w:hAnsi="Times New Roman"/>
          <w:sz w:val="15"/>
          <w:szCs w:val="15"/>
          <w:b w:val="1"/>
          <w:bCs w:val="1"/>
          <w:color w:val="auto"/>
        </w:rPr>
        <w:t>Provo,</w:t>
      </w:r>
      <w:r>
        <w:rPr>
          <w:sz w:val="20"/>
          <w:szCs w:val="20"/>
          <w:color w:val="auto"/>
        </w:rPr>
        <w:tab/>
      </w:r>
      <w:r>
        <w:rPr>
          <w:rFonts w:ascii="Times New Roman" w:cs="Times New Roman" w:eastAsia="Times New Roman" w:hAnsi="Times New Roman"/>
          <w:sz w:val="15"/>
          <w:szCs w:val="15"/>
          <w:b w:val="1"/>
          <w:bCs w:val="1"/>
          <w:color w:val="auto"/>
        </w:rPr>
        <w:t>Utah</w:t>
      </w:r>
      <w:r>
        <w:rPr>
          <w:sz w:val="20"/>
          <w:szCs w:val="20"/>
          <w:color w:val="auto"/>
        </w:rPr>
        <w:tab/>
      </w:r>
      <w:r>
        <w:rPr>
          <w:rFonts w:ascii="Times New Roman" w:cs="Times New Roman" w:eastAsia="Times New Roman" w:hAnsi="Times New Roman"/>
          <w:sz w:val="15"/>
          <w:szCs w:val="15"/>
          <w:b w:val="1"/>
          <w:bCs w:val="1"/>
          <w:color w:val="auto"/>
        </w:rPr>
        <w:t>84604</w:t>
      </w:r>
    </w:p>
    <w:p>
      <w:pPr>
        <w:spacing w:after="0" w:line="10" w:lineRule="exact"/>
        <w:rPr>
          <w:sz w:val="24"/>
          <w:szCs w:val="24"/>
          <w:color w:val="auto"/>
        </w:rPr>
      </w:pPr>
    </w:p>
    <w:p>
      <w:pPr>
        <w:jc w:val="center"/>
        <w:ind w:right="831"/>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920"/>
        <w:spacing w:after="0"/>
        <w:tabs>
          <w:tab w:leader="none" w:pos="1700" w:val="left"/>
        </w:tabs>
        <w:rPr>
          <w:sz w:val="20"/>
          <w:szCs w:val="20"/>
          <w:color w:val="auto"/>
        </w:rPr>
      </w:pPr>
      <w:r>
        <w:rPr>
          <w:rFonts w:ascii="Times New Roman" w:cs="Times New Roman" w:eastAsia="Times New Roman" w:hAnsi="Times New Roman"/>
          <w:sz w:val="15"/>
          <w:szCs w:val="15"/>
          <w:b w:val="1"/>
          <w:bCs w:val="1"/>
          <w:color w:val="auto"/>
        </w:rPr>
        <w:t>(626)</w:t>
      </w:r>
      <w:r>
        <w:rPr>
          <w:sz w:val="20"/>
          <w:szCs w:val="20"/>
          <w:color w:val="auto"/>
        </w:rPr>
        <w:tab/>
      </w:r>
      <w:r>
        <w:rPr>
          <w:rFonts w:ascii="Times New Roman" w:cs="Times New Roman" w:eastAsia="Times New Roman" w:hAnsi="Times New Roman"/>
          <w:sz w:val="15"/>
          <w:szCs w:val="15"/>
          <w:b w:val="1"/>
          <w:bCs w:val="1"/>
          <w:color w:val="auto"/>
        </w:rPr>
        <w:t>765-2000</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(Registrant's Telephone Number, Including Area Code)</w:t>
      </w:r>
    </w:p>
    <w:p>
      <w:pPr>
        <w:spacing w:after="0" w:line="175" w:lineRule="exact"/>
        <w:rPr>
          <w:sz w:val="24"/>
          <w:szCs w:val="24"/>
          <w:color w:val="auto"/>
        </w:rPr>
      </w:pPr>
    </w:p>
    <w:p>
      <w:pPr>
        <w:sectPr>
          <w:pgSz w:w="11900" w:h="16838" w:orient="portrait"/>
          <w:cols w:equalWidth="0" w:num="2">
            <w:col w:w="6009" w:space="720"/>
            <w:col w:w="4540"/>
          </w:cols>
          <w:pgMar w:left="311" w:top="459" w:right="319" w:bottom="1440" w:gutter="0" w:footer="0" w:header="0"/>
          <w:type w:val="continuous"/>
        </w:sect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(Former Name or Former Address, If Changed Since Last Report)</w:t>
      </w:r>
    </w:p>
    <w:p>
      <w:pPr>
        <w:spacing w:after="0" w:line="17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3"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3"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3"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8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29" w:lineRule="exact"/>
        <w:rPr>
          <w:sz w:val="24"/>
          <w:szCs w:val="24"/>
          <w:color w:val="auto"/>
        </w:rPr>
      </w:pPr>
    </w:p>
    <w:tbl>
      <w:tblPr>
        <w:tblLayout w:type="fixed"/>
        <w:tblInd w:w="19" w:type="dxa"/>
        <w:tblCellMar>
          <w:top w:w="0" w:type="dxa"/>
          <w:left w:w="0" w:type="dxa"/>
          <w:bottom w:w="0" w:type="dxa"/>
          <w:right w:w="0" w:type="dxa"/>
        </w:tblCellMar>
      </w:tblPr>
      <w:tr>
        <w:trPr>
          <w:trHeight w:val="207"/>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7"/>
        </w:trPr>
        <w:tc>
          <w:tcPr>
            <w:tcW w:w="4240" w:type="dxa"/>
            <w:vAlign w:val="bottom"/>
            <w:tcBorders>
              <w:left w:val="single" w:sz="8" w:color="auto"/>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Class A Common Stock, $0.001 par value</w:t>
            </w:r>
          </w:p>
        </w:tc>
        <w:tc>
          <w:tcPr>
            <w:tcW w:w="230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GDOT</w:t>
            </w:r>
          </w:p>
        </w:tc>
        <w:tc>
          <w:tcPr>
            <w:tcW w:w="4720" w:type="dxa"/>
            <w:vAlign w:val="bottom"/>
            <w:tcBorders>
              <w:bottom w:val="single" w:sz="8" w:color="auto"/>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168" w:lineRule="exact"/>
        <w:rPr>
          <w:sz w:val="24"/>
          <w:szCs w:val="24"/>
          <w:color w:val="auto"/>
        </w:rPr>
      </w:pPr>
    </w:p>
    <w:p>
      <w:pPr>
        <w:jc w:val="both"/>
        <w:ind w:left="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8" w:lineRule="exact"/>
        <w:rPr>
          <w:sz w:val="24"/>
          <w:szCs w:val="24"/>
          <w:color w:val="auto"/>
        </w:rPr>
      </w:pPr>
    </w:p>
    <w:p>
      <w:pPr>
        <w:ind w:left="942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29" w:lineRule="exact"/>
        <w:rPr>
          <w:sz w:val="24"/>
          <w:szCs w:val="24"/>
          <w:color w:val="auto"/>
        </w:rPr>
      </w:pPr>
    </w:p>
    <w:p>
      <w:pPr>
        <w:jc w:val="both"/>
        <w:ind w:left="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153275"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239395</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45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19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As previously disclosed, on November 23, 2025, Green Dot Corporation, a Delaware corporation (“Green Dot”), entered into an Agreement and Plan of Merger (the “Merger Agreement”) with CommerceOne Financial Corporation, an Alabama corporation (“CommerceOne”), Compass Sub North, Inc., a newly formed Delaware corporation and a direct, wholly owned subsidiary of CommerceOne (“New CommerceOne” or the “Combined Company”), Compass Sub East, Inc., a newly formed Delaware corporation and a direct, wholly owned subsidiary of New CommerceOne (“Merger Sub One”), and Compass Sub West, Inc., a newly formed Delaware corporation and an indirect, wholly owned subsidiary of New CommerceOne (“Merger Sub Two”), pursuant to which, upon the terms and subject to the conditions set forth therein, (i) Merger Sub One will merge with and into CommerceOne and Merger Sub Two will merge with and into Green Dot (collectively, the “First Mergers”), with CommerceOne and Green Dot, respectively, surviving the First Mergers; and (ii) following the First Mergers, CommerceOne will merge with and into New CommerceOne, with New CommerceOne surviving under the name “CommerceOne Financial Corporation” (together with the First Mergers, the “Mergers”).</w:t>
      </w:r>
    </w:p>
    <w:p>
      <w:pPr>
        <w:spacing w:after="0" w:line="15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Also on November 23, 2025, Green Dot entered into a Separation Agreement (the “Separation Agreement”) by and among New CommerceOne, Green Dot and Green Dot OpCo, LLC, a newly formed Delaware limited liability company and affiliate of Smith Ventures, LLC (“OpCo”), pursuant to which, upon the terms and subject to the conditions therein, following the First Mergers, (i) Green Dot will convert into a limited liability company, (ii) Green Dot will distribute the stock of Green Dot Bank, a Utah-chartered bank and wholly owned subsidiary of Green Dot, to Compass Sub Northwest, Inc., a newly formed Delaware corporation and direct, wholly owned subsidiary of New CommerceOne, and (iii) OpCo will acquire Green Dot and its non-bank financial technology and related assets and operations (together with the Mergers, the “Proposed Transaction”).</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In connection with the Proposed Transaction, New CommerceOne filed with the Securities and Exchange Commission (the “SEC”) on February 9, 2026, a registration statement on Form S-4, File No. 333-293326, as amended on April 7, 2026, May 1, 2026 and May 7, 2026, and which was declared effective by the SEC on May 8, 2026, containing a proxy statement of Green Dot that also constitutes a prospectus of New CommerceOne. Green Dot filed a definitive proxy statement and New CommerceOne filed a final prospectus with the SEC on May 8, 2026 (the “proxy statement/prospectus”). Green Dot first mailed the proxy statement/prospectus to its stockholders on or about May 15, 2026.</w:t>
      </w:r>
    </w:p>
    <w:p>
      <w:pPr>
        <w:spacing w:after="0" w:line="150"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5"/>
          <w:szCs w:val="15"/>
          <w:color w:val="auto"/>
        </w:rPr>
        <w:t>Green Dot and CommerceOne will each hold a special meeting of stockholders on June 23, 2026 to consider certain proposals related to the Merger Agreement and the Separation Agreement as further described in the proxy statement/prospectus.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Litigation Related to the Proposed Transaction</w:t>
      </w:r>
    </w:p>
    <w:p>
      <w:pPr>
        <w:spacing w:after="0" w:line="1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 xml:space="preserve">Following the announcement of the Proposed Transaction, as of the date of this Current Report on Form 8-K, three lawsuits challenging the Proposed Transaction have been filed (each, a “Lawsuit” and, collectively, the “Lawsuits”). The first Lawsuit, captioned </w:t>
      </w:r>
      <w:r>
        <w:rPr>
          <w:rFonts w:ascii="Times New Roman" w:cs="Times New Roman" w:eastAsia="Times New Roman" w:hAnsi="Times New Roman"/>
          <w:sz w:val="15"/>
          <w:szCs w:val="15"/>
          <w:i w:val="1"/>
          <w:iCs w:val="1"/>
          <w:color w:val="auto"/>
        </w:rPr>
        <w:t>Phillips</w:t>
      </w:r>
      <w:r>
        <w:rPr>
          <w:rFonts w:ascii="Times New Roman" w:cs="Times New Roman" w:eastAsia="Times New Roman" w:hAnsi="Times New Roman"/>
          <w:sz w:val="15"/>
          <w:szCs w:val="15"/>
          <w:color w:val="auto"/>
        </w:rPr>
        <w:t xml:space="preserve"> v. </w:t>
      </w:r>
      <w:r>
        <w:rPr>
          <w:rFonts w:ascii="Times New Roman" w:cs="Times New Roman" w:eastAsia="Times New Roman" w:hAnsi="Times New Roman"/>
          <w:sz w:val="15"/>
          <w:szCs w:val="15"/>
          <w:i w:val="1"/>
          <w:iCs w:val="1"/>
          <w:color w:val="auto"/>
        </w:rPr>
        <w:t>Green Dot Corporation, et al.</w:t>
      </w:r>
      <w:r>
        <w:rPr>
          <w:rFonts w:ascii="Times New Roman" w:cs="Times New Roman" w:eastAsia="Times New Roman" w:hAnsi="Times New Roman"/>
          <w:sz w:val="15"/>
          <w:szCs w:val="15"/>
          <w:color w:val="auto"/>
        </w:rPr>
        <w:t xml:space="preserve"> (No. 653155/2026), was filed in the Supreme Court of the State of New York on May 27, 2026. The second Lawsuit, captioned </w:t>
      </w:r>
      <w:r>
        <w:rPr>
          <w:rFonts w:ascii="Times New Roman" w:cs="Times New Roman" w:eastAsia="Times New Roman" w:hAnsi="Times New Roman"/>
          <w:sz w:val="15"/>
          <w:szCs w:val="15"/>
          <w:i w:val="1"/>
          <w:iCs w:val="1"/>
          <w:color w:val="auto"/>
        </w:rPr>
        <w:t>Richardson</w:t>
      </w:r>
      <w:r>
        <w:rPr>
          <w:rFonts w:ascii="Times New Roman" w:cs="Times New Roman" w:eastAsia="Times New Roman" w:hAnsi="Times New Roman"/>
          <w:sz w:val="15"/>
          <w:szCs w:val="15"/>
          <w:color w:val="auto"/>
        </w:rPr>
        <w:t xml:space="preserve"> v</w:t>
      </w:r>
      <w:r>
        <w:rPr>
          <w:rFonts w:ascii="Times New Roman" w:cs="Times New Roman" w:eastAsia="Times New Roman" w:hAnsi="Times New Roman"/>
          <w:sz w:val="15"/>
          <w:szCs w:val="15"/>
          <w:i w:val="1"/>
          <w:iCs w:val="1"/>
          <w:color w:val="auto"/>
        </w:rPr>
        <w:t>. Green Dot Corporation, et al.</w:t>
      </w:r>
      <w:r>
        <w:rPr>
          <w:rFonts w:ascii="Times New Roman" w:cs="Times New Roman" w:eastAsia="Times New Roman" w:hAnsi="Times New Roman"/>
          <w:sz w:val="15"/>
          <w:szCs w:val="15"/>
          <w:color w:val="auto"/>
        </w:rPr>
        <w:t xml:space="preserve"> (No. 653180/2026), was filed in the Supreme Court of the State of New York on May 28, 2026. The third Lawsuit, captioned </w:t>
      </w:r>
      <w:r>
        <w:rPr>
          <w:rFonts w:ascii="Times New Roman" w:cs="Times New Roman" w:eastAsia="Times New Roman" w:hAnsi="Times New Roman"/>
          <w:sz w:val="15"/>
          <w:szCs w:val="15"/>
          <w:i w:val="1"/>
          <w:iCs w:val="1"/>
          <w:color w:val="auto"/>
        </w:rPr>
        <w:t>Zaccagnino</w:t>
      </w:r>
      <w:r>
        <w:rPr>
          <w:rFonts w:ascii="Times New Roman" w:cs="Times New Roman" w:eastAsia="Times New Roman" w:hAnsi="Times New Roman"/>
          <w:sz w:val="15"/>
          <w:szCs w:val="15"/>
          <w:color w:val="auto"/>
        </w:rPr>
        <w:t xml:space="preserve"> v</w:t>
      </w:r>
      <w:r>
        <w:rPr>
          <w:rFonts w:ascii="Times New Roman" w:cs="Times New Roman" w:eastAsia="Times New Roman" w:hAnsi="Times New Roman"/>
          <w:sz w:val="15"/>
          <w:szCs w:val="15"/>
          <w:i w:val="1"/>
          <w:iCs w:val="1"/>
          <w:color w:val="auto"/>
        </w:rPr>
        <w:t>. J. Chris Brewster et al.</w:t>
      </w:r>
      <w:r>
        <w:rPr>
          <w:rFonts w:ascii="Times New Roman" w:cs="Times New Roman" w:eastAsia="Times New Roman" w:hAnsi="Times New Roman"/>
          <w:sz w:val="15"/>
          <w:szCs w:val="15"/>
          <w:color w:val="auto"/>
        </w:rPr>
        <w:t xml:space="preserve"> (No. 65838/2026), was filed in the Supreme Court of the State of New York on June 8, 2026. In addition, Green Dot has received demand letters from counsel representing purported stockholders of Green Dot (the “Demand Letters” and, together with the Lawsuits, the “Matters”). The Matters each allege that, among other things, the proxy statement/prospectus contains certain disclosure deficiencies and/or incomplete information regarding the Proposed Transaction.</w:t>
      </w:r>
    </w:p>
    <w:p>
      <w:pPr>
        <w:spacing w:after="0" w:line="1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Green Dot and CommerceOne believe that the claims asserted in the Matters are without merit and that no additional disclosure in the proxy statement/prospectus is required or necessary under applicable laws. However, in order to avoid the risk that the Matters delay or otherwise adversely affect the Proposed Transaction, and to minimize the costs, risks and uncertainties inherent in litigation, and without admitting any liability or wrongdoing, Green Dot, CommerceOne and New CommerceOne hereby make additional disclosures (the “Supplemental Disclosures”) to supplement the disclosures contained in the proxy statement/prospectus. Green Dot, CommerceOne, New CommerceOne and their respective boards of directors deny all allegations in the Matters that any additional disclosure was or is required or that they have violated any laws or breached any duties to stockholders in connection with the proxy statement/prospectus, and none of the Supplemental Disclosures nor any other disclosure in this Current Report on Form 8-K should be construed as an admission of the legal necessity or materiality under applicable laws of any 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9"/>
        <w:spacing w:after="0"/>
        <w:rPr>
          <w:sz w:val="20"/>
          <w:szCs w:val="20"/>
          <w:color w:val="auto"/>
        </w:rPr>
      </w:pPr>
      <w:r>
        <w:rPr>
          <w:rFonts w:ascii="Times New Roman" w:cs="Times New Roman" w:eastAsia="Times New Roman" w:hAnsi="Times New Roman"/>
          <w:sz w:val="15"/>
          <w:szCs w:val="15"/>
          <w:i w:val="1"/>
          <w:iCs w:val="1"/>
          <w:color w:val="auto"/>
        </w:rPr>
        <w:t>Supplemental Disclosures to the Proxy Statement/Prospectus</w:t>
      </w:r>
    </w:p>
    <w:p>
      <w:pPr>
        <w:spacing w:after="0" w:line="197" w:lineRule="exact"/>
        <w:rPr>
          <w:sz w:val="20"/>
          <w:szCs w:val="20"/>
          <w:color w:val="auto"/>
        </w:rPr>
      </w:pPr>
    </w:p>
    <w:p>
      <w:pPr>
        <w:ind w:left="9" w:right="60"/>
        <w:spacing w:after="0" w:line="260" w:lineRule="auto"/>
        <w:rPr>
          <w:sz w:val="20"/>
          <w:szCs w:val="20"/>
          <w:color w:val="auto"/>
        </w:rPr>
      </w:pPr>
      <w:r>
        <w:rPr>
          <w:rFonts w:ascii="Times New Roman" w:cs="Times New Roman" w:eastAsia="Times New Roman" w:hAnsi="Times New Roman"/>
          <w:sz w:val="15"/>
          <w:szCs w:val="15"/>
          <w:color w:val="auto"/>
        </w:rPr>
        <w:t>The Supplemental Disclosures set forth below supplements the proxy statement/prospectus and should be read in conjunction with the proxy statement/prospectus, which should be read in its entirety. To the extent that information herein differs from or updates information contained in the proxy statement/prospectus, the information contained herein supersedes the information contained in the proxy statement/prospectus. Except as otherwise described in the below Supplemental Disclosures or the documents referred to, contained in or incorporated by reference herein, the proxy statement/prospectus, the annexes to the proxy statement/prospectus and the documents referred to, contained in or incorporated by reference in the proxy statement/prospectus are not otherwise modified, supplemented or amended. All page references below are to pages in the proxy statement/prospectus, and terms used below shall have the meanings set forth in the proxy statement/prospectus (unless otherwise defined below). For clarity, new text within restated paragraphs and tables from the proxy statement/prospectus is underlined, while deleted text is stricken-through.</w:t>
      </w:r>
    </w:p>
    <w:p>
      <w:pPr>
        <w:spacing w:after="0" w:line="152" w:lineRule="exact"/>
        <w:rPr>
          <w:sz w:val="20"/>
          <w:szCs w:val="20"/>
          <w:color w:val="auto"/>
        </w:rPr>
      </w:pPr>
    </w:p>
    <w:p>
      <w:pPr>
        <w:ind w:left="549" w:right="280" w:hanging="549"/>
        <w:spacing w:after="0" w:line="295" w:lineRule="auto"/>
        <w:tabs>
          <w:tab w:leader="none" w:pos="549" w:val="left"/>
        </w:tabs>
        <w:numPr>
          <w:ilvl w:val="0"/>
          <w:numId w:val="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Mergers—Background of the Mergers and the Payments Sale” in the proxy statement/prospectus is hereby amended by adding the following underlined language in the fifth full paragraph on page 134 of the proxy statement/prospectus:</w:t>
      </w:r>
    </w:p>
    <w:p>
      <w:pPr>
        <w:spacing w:after="0" w:line="129" w:lineRule="exact"/>
        <w:rPr>
          <w:sz w:val="20"/>
          <w:szCs w:val="20"/>
          <w:color w:val="auto"/>
        </w:rPr>
      </w:pPr>
    </w:p>
    <w:p>
      <w:pPr>
        <w:ind w:left="9" w:firstLine="549"/>
        <w:spacing w:after="0" w:line="266" w:lineRule="auto"/>
        <w:rPr>
          <w:sz w:val="20"/>
          <w:szCs w:val="20"/>
          <w:color w:val="auto"/>
        </w:rPr>
      </w:pPr>
      <w:r>
        <w:rPr>
          <w:rFonts w:ascii="Times New Roman" w:cs="Times New Roman" w:eastAsia="Times New Roman" w:hAnsi="Times New Roman"/>
          <w:sz w:val="15"/>
          <w:szCs w:val="15"/>
          <w:color w:val="auto"/>
        </w:rPr>
        <w:t xml:space="preserve">On June 18, 2025, representatives of Stephens contacted representatives of Citi to inform Citi that Smith Ventures was partnering with CommerceOne in order to better facilitate and structure a potential strategic transaction with Green Dot and to discuss the possibility of a joint transaction proposal by Smith Ventures and CommerceOne. CommerceOne subsequently executed an NDA with Green Dot on June 19, 2025 and was provided access to due diligence materials. </w:t>
      </w:r>
      <w:r>
        <w:rPr>
          <w:rFonts w:ascii="Times New Roman" w:cs="Times New Roman" w:eastAsia="Times New Roman" w:hAnsi="Times New Roman"/>
          <w:sz w:val="15"/>
          <w:szCs w:val="15"/>
          <w:u w:val="single" w:color="auto"/>
          <w:color w:val="auto"/>
        </w:rPr>
        <w:t>The NDA executed with CommerceOne contained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substantially similar terms to the NDAs entered into with the other potentially interested parties.</w:t>
      </w:r>
    </w:p>
    <w:p>
      <w:pPr>
        <w:spacing w:after="0" w:line="146" w:lineRule="exact"/>
        <w:rPr>
          <w:sz w:val="20"/>
          <w:szCs w:val="20"/>
          <w:color w:val="auto"/>
        </w:rPr>
      </w:pPr>
    </w:p>
    <w:p>
      <w:pPr>
        <w:ind w:left="549" w:right="120" w:hanging="549"/>
        <w:spacing w:after="0" w:line="268" w:lineRule="auto"/>
        <w:tabs>
          <w:tab w:leader="none" w:pos="549" w:val="left"/>
        </w:tabs>
        <w:numPr>
          <w:ilvl w:val="0"/>
          <w:numId w:val="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Citi—The Green Dot Merger Consideration—Selected Public Companies Analysis—Combined Company” in the proxy statement/prospectus is hereby amended by adding (i) the following underlined language in the fourth paragraph and (ii) the “Price / Tangible Book Value Per Diluted Share” for each of the selected companies to the table, in each case, on page 148 of the proxy statement/prospectus:</w:t>
      </w:r>
    </w:p>
    <w:p>
      <w:pPr>
        <w:spacing w:after="0" w:line="148" w:lineRule="exact"/>
        <w:rPr>
          <w:rFonts w:ascii="Times New Roman" w:cs="Times New Roman" w:eastAsia="Times New Roman" w:hAnsi="Times New Roman"/>
          <w:sz w:val="15"/>
          <w:szCs w:val="15"/>
          <w:b w:val="1"/>
          <w:bCs w:val="1"/>
          <w:i w:val="1"/>
          <w:iCs w:val="1"/>
          <w:color w:val="auto"/>
        </w:rPr>
      </w:pPr>
    </w:p>
    <w:p>
      <w:pPr>
        <w:ind w:left="549"/>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 xml:space="preserve">The selected companies </w:t>
      </w:r>
      <w:r>
        <w:rPr>
          <w:rFonts w:ascii="Times New Roman" w:cs="Times New Roman" w:eastAsia="Times New Roman" w:hAnsi="Times New Roman"/>
          <w:sz w:val="15"/>
          <w:szCs w:val="15"/>
          <w:u w:val="single" w:color="auto"/>
          <w:color w:val="auto"/>
        </w:rPr>
        <w:t>(and corresponding multiples)</w:t>
      </w:r>
      <w:r>
        <w:rPr>
          <w:rFonts w:ascii="Times New Roman" w:cs="Times New Roman" w:eastAsia="Times New Roman" w:hAnsi="Times New Roman"/>
          <w:sz w:val="15"/>
          <w:szCs w:val="15"/>
          <w:color w:val="auto"/>
        </w:rPr>
        <w:t xml:space="preserve"> considered by Citi for its analysis of the Combined Company were: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96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Selected Companies</w:t>
            </w: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 Tangible Book</w:t>
            </w:r>
          </w:p>
        </w:tc>
        <w:tc>
          <w:tcPr>
            <w:tcW w:w="0" w:type="dxa"/>
            <w:vAlign w:val="bottom"/>
          </w:tcPr>
          <w:p>
            <w:pPr>
              <w:spacing w:after="0"/>
              <w:rPr>
                <w:sz w:val="1"/>
                <w:szCs w:val="1"/>
                <w:color w:val="auto"/>
              </w:rPr>
            </w:pPr>
          </w:p>
        </w:tc>
      </w:tr>
      <w:tr>
        <w:trPr>
          <w:trHeight w:val="20"/>
        </w:trPr>
        <w:tc>
          <w:tcPr>
            <w:tcW w:w="96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680" w:type="dxa"/>
            <w:vAlign w:val="bottom"/>
            <w:gridSpan w:val="2"/>
            <w:vMerge w:val="continue"/>
          </w:tcPr>
          <w:p>
            <w:pPr>
              <w:spacing w:after="0"/>
              <w:rPr>
                <w:sz w:val="14"/>
                <w:szCs w:val="14"/>
                <w:color w:val="auto"/>
              </w:rPr>
            </w:pPr>
          </w:p>
        </w:tc>
        <w:tc>
          <w:tcPr>
            <w:tcW w:w="1580" w:type="dxa"/>
            <w:vAlign w:val="bottom"/>
            <w:tcBorders>
              <w:bottom w:val="single" w:sz="8" w:color="auto"/>
            </w:tcBorders>
            <w:gridSpan w:val="3"/>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Value Per Diluted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Axos Financial, Inc.</w:t>
            </w: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1.81x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3.58x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2.94x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3.40x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1.05x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1.41x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Medallion Financial Corp.</w:t>
            </w: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0.73x</w:t>
            </w: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9"/>
          </w:cols>
          <w:pgMar w:left="311" w:top="121" w:right="319" w:bottom="1440" w:gutter="0" w:footer="0" w:header="0"/>
        </w:sectPr>
      </w:pPr>
    </w:p>
    <w:bookmarkStart w:id="3" w:name="page4"/>
    <w:bookmarkEnd w:id="3"/>
    <w:p>
      <w:pPr>
        <w:ind w:left="549" w:right="40" w:hanging="549"/>
        <w:spacing w:after="0" w:line="275" w:lineRule="auto"/>
        <w:tabs>
          <w:tab w:leader="none" w:pos="549" w:val="left"/>
        </w:tabs>
        <w:numPr>
          <w:ilvl w:val="0"/>
          <w:numId w:val="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Citi—The Green Dot Merger Consideration—Dividend Discount Analysis—Combined Company” in the proxy statement/prospectus is hereby amended by adding the following underlined language in the last paragraph beginning on page 148 of the proxy statement/prospectus:</w:t>
      </w:r>
    </w:p>
    <w:p>
      <w:pPr>
        <w:spacing w:after="0" w:line="143" w:lineRule="exact"/>
        <w:rPr>
          <w:sz w:val="20"/>
          <w:szCs w:val="20"/>
          <w:color w:val="auto"/>
        </w:rPr>
      </w:pPr>
    </w:p>
    <w:p>
      <w:pPr>
        <w:ind w:left="9" w:firstLine="549"/>
        <w:spacing w:after="0" w:line="258" w:lineRule="auto"/>
        <w:rPr>
          <w:sz w:val="20"/>
          <w:szCs w:val="20"/>
          <w:color w:val="auto"/>
        </w:rPr>
      </w:pPr>
      <w:r>
        <w:rPr>
          <w:rFonts w:ascii="Times New Roman" w:cs="Times New Roman" w:eastAsia="Times New Roman" w:hAnsi="Times New Roman"/>
          <w:sz w:val="15"/>
          <w:szCs w:val="15"/>
          <w:color w:val="auto"/>
        </w:rPr>
        <w:t xml:space="preserve">Citi performed a dividend discount analysis of the Combined Company by calculating the estimated present value (as of June 30, 2026) of (i) the dividends that the Combined Company was forecasted to generate during the six months ending December 31, 2026 and the years ending December 31, 2027 through December 31, 2031 based on the Adjusted Combined Company Projections (including certain pro forma effects of the Mergers anticipated by Green Dot management) and (ii) a range of estimated terminal values for the Combined Company. Based on its professional judgment and experience, Citi applied a perpetuity growth rate of 2.0% to 3.0% to the Combined Company’s estimated dividends for the terminal year period, based on the Adjusted Combined Company Projections. </w:t>
      </w:r>
      <w:r>
        <w:rPr>
          <w:rFonts w:ascii="Times New Roman" w:cs="Times New Roman" w:eastAsia="Times New Roman" w:hAnsi="Times New Roman"/>
          <w:sz w:val="15"/>
          <w:szCs w:val="15"/>
          <w:u w:val="single" w:color="auto"/>
          <w:color w:val="auto"/>
        </w:rPr>
        <w:t>The undiscounted terminal value indicated by this analysis, assuming a 2.5% perpetuity growth rate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midpoint of the selected range) and an 11.5% discount rate (the midpoint of the selected range noted below), was $996 million.</w:t>
      </w:r>
      <w:r>
        <w:rPr>
          <w:rFonts w:ascii="Times New Roman" w:cs="Times New Roman" w:eastAsia="Times New Roman" w:hAnsi="Times New Roman"/>
          <w:sz w:val="15"/>
          <w:szCs w:val="15"/>
          <w:color w:val="auto"/>
        </w:rPr>
        <w:t xml:space="preserve"> The present value (as of June 30, 2026) of the dividends and implied terminal values were then calculated using a selected range of discount rates of 11.00% to 12.00% </w:t>
      </w:r>
      <w:r>
        <w:rPr>
          <w:rFonts w:ascii="Times New Roman" w:cs="Times New Roman" w:eastAsia="Times New Roman" w:hAnsi="Times New Roman"/>
          <w:sz w:val="15"/>
          <w:szCs w:val="15"/>
          <w:u w:val="single" w:color="auto"/>
          <w:color w:val="auto"/>
        </w:rPr>
        <w:t>(selected by Citi using its professional judgment and experience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application of the capital asset pricing model)</w:t>
      </w:r>
      <w:r>
        <w:rPr>
          <w:rFonts w:ascii="Times New Roman" w:cs="Times New Roman" w:eastAsia="Times New Roman" w:hAnsi="Times New Roman"/>
          <w:sz w:val="15"/>
          <w:szCs w:val="15"/>
          <w:color w:val="auto"/>
        </w:rPr>
        <w:t>. This analysis indicated an approximate implied equity value reference range for the Combined Company of $590 million to $755 million. Accounting for the approximate 72.2% ownership in the Combined Company by Green Dot stockholders as of immediately following the consummation of the Mergers and the $8.11 of per share cash consideration, this analysis indicated a range of implied value for the Green Dot Merger Consideration of $15.45 to $17.51.</w:t>
      </w:r>
    </w:p>
    <w:p>
      <w:pPr>
        <w:spacing w:after="0" w:line="155" w:lineRule="exact"/>
        <w:rPr>
          <w:sz w:val="20"/>
          <w:szCs w:val="20"/>
          <w:color w:val="auto"/>
        </w:rPr>
      </w:pPr>
    </w:p>
    <w:p>
      <w:pPr>
        <w:ind w:left="549" w:right="200" w:hanging="549"/>
        <w:spacing w:after="0" w:line="268" w:lineRule="auto"/>
        <w:tabs>
          <w:tab w:leader="none" w:pos="549" w:val="left"/>
        </w:tabs>
        <w:numPr>
          <w:ilvl w:val="0"/>
          <w:numId w:val="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Dot—Selected Public Companies Analysis” in the proxy statement/prospectus is hereby amended by adding (i) the following underlined language in the second full paragraph, (ii) the “Price / 2026E Adjusted EPS” for each of the selected companies to the table and (iii) the “Price / Tangible Book Value Per Diluted Share” for each of the selected companies to the table, in each case, on page 149 of the proxy statement/prospectus:</w:t>
      </w:r>
    </w:p>
    <w:p>
      <w:pPr>
        <w:spacing w:after="0" w:line="148" w:lineRule="exact"/>
        <w:rPr>
          <w:rFonts w:ascii="Times New Roman" w:cs="Times New Roman" w:eastAsia="Times New Roman" w:hAnsi="Times New Roman"/>
          <w:sz w:val="15"/>
          <w:szCs w:val="15"/>
          <w:b w:val="1"/>
          <w:bCs w:val="1"/>
          <w:i w:val="1"/>
          <w:iCs w:val="1"/>
          <w:color w:val="auto"/>
        </w:rPr>
      </w:pPr>
    </w:p>
    <w:p>
      <w:pPr>
        <w:ind w:left="549"/>
        <w:spacing w:after="0"/>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 xml:space="preserve">The selected companies </w:t>
      </w:r>
      <w:r>
        <w:rPr>
          <w:rFonts w:ascii="Times New Roman" w:cs="Times New Roman" w:eastAsia="Times New Roman" w:hAnsi="Times New Roman"/>
          <w:sz w:val="15"/>
          <w:szCs w:val="15"/>
          <w:u w:val="single" w:color="auto"/>
          <w:color w:val="auto"/>
        </w:rPr>
        <w:t>(and corresponding multiples)</w:t>
      </w:r>
      <w:r>
        <w:rPr>
          <w:rFonts w:ascii="Times New Roman" w:cs="Times New Roman" w:eastAsia="Times New Roman" w:hAnsi="Times New Roman"/>
          <w:sz w:val="15"/>
          <w:szCs w:val="15"/>
          <w:color w:val="auto"/>
        </w:rPr>
        <w:t xml:space="preserve"> considered by Citi for its analysis of Green Dot were:</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Selected Companies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Price / 2026E</w:t>
            </w: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 Tangible Book</w:t>
            </w:r>
          </w:p>
        </w:tc>
        <w:tc>
          <w:tcPr>
            <w:tcW w:w="0" w:type="dxa"/>
            <w:vAlign w:val="bottom"/>
          </w:tcPr>
          <w:p>
            <w:pPr>
              <w:spacing w:after="0"/>
              <w:rPr>
                <w:sz w:val="1"/>
                <w:szCs w:val="1"/>
                <w:color w:val="auto"/>
              </w:rPr>
            </w:pPr>
          </w:p>
        </w:tc>
      </w:tr>
      <w:tr>
        <w:trPr>
          <w:trHeight w:val="20"/>
        </w:trPr>
        <w:tc>
          <w:tcPr>
            <w:tcW w:w="8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gridSpan w:val="2"/>
            <w:vMerge w:val="continue"/>
          </w:tcPr>
          <w:p>
            <w:pPr>
              <w:spacing w:after="0"/>
              <w:rPr>
                <w:sz w:val="14"/>
                <w:szCs w:val="14"/>
                <w:color w:val="auto"/>
              </w:rPr>
            </w:pPr>
          </w:p>
        </w:tc>
        <w:tc>
          <w:tcPr>
            <w:tcW w:w="1100" w:type="dxa"/>
            <w:vAlign w:val="bottom"/>
            <w:gridSpan w:val="5"/>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Adjusted EPS</w:t>
            </w:r>
          </w:p>
        </w:tc>
        <w:tc>
          <w:tcPr>
            <w:tcW w:w="100" w:type="dxa"/>
            <w:vAlign w:val="bottom"/>
          </w:tcPr>
          <w:p>
            <w:pPr>
              <w:spacing w:after="0"/>
              <w:rPr>
                <w:sz w:val="14"/>
                <w:szCs w:val="14"/>
                <w:color w:val="auto"/>
              </w:rPr>
            </w:pPr>
          </w:p>
        </w:tc>
        <w:tc>
          <w:tcPr>
            <w:tcW w:w="1580" w:type="dxa"/>
            <w:vAlign w:val="bottom"/>
            <w:gridSpan w:val="3"/>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Value Per Diluted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Axos Financial, Inc.</w:t>
            </w: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8.5x</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1.81x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8"/>
              </w:rPr>
              <w:t>9.1x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3.58x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7.7x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2.94x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16.1x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3.40x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11.8x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1.05x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8"/>
              </w:rPr>
              <w:t>9.2x</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1.41x</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Medallion Financial Corp.</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5.3x</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0.73x</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49" w:right="60" w:hanging="549"/>
        <w:spacing w:after="0" w:line="275" w:lineRule="auto"/>
        <w:tabs>
          <w:tab w:leader="none" w:pos="549" w:val="left"/>
        </w:tabs>
        <w:numPr>
          <w:ilvl w:val="0"/>
          <w:numId w:val="7"/>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Dot—Dividend Discount Analysis” in the proxy statement/prospectus is hereby amended by adding the following underlined language in the last paragraph beginning on page 149 of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15327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4" w:name="page5"/>
    <w:bookmarkEnd w:id="4"/>
    <w:p>
      <w:pPr>
        <w:ind w:left="9" w:right="40" w:firstLine="549"/>
        <w:spacing w:after="0" w:line="259" w:lineRule="auto"/>
        <w:rPr>
          <w:sz w:val="20"/>
          <w:szCs w:val="20"/>
          <w:color w:val="auto"/>
        </w:rPr>
      </w:pPr>
      <w:r>
        <w:rPr>
          <w:rFonts w:ascii="Times New Roman" w:cs="Times New Roman" w:eastAsia="Times New Roman" w:hAnsi="Times New Roman"/>
          <w:sz w:val="15"/>
          <w:szCs w:val="15"/>
          <w:color w:val="auto"/>
        </w:rPr>
        <w:t xml:space="preserve">Citi performed a dividend discount analysis of Green Dot by calculating the estimated present value (as of September 30, 2025) of (i) the dividends that Green Dot was forecasted to generate during the three months ending December 31, 2025 and the years ending December 31, 2026 through December 31, 2031 based on the Green Dot Prospective Financial Information and (ii) a range of estimated terminal values for Green Dot. Based on its professional judgment and experience, Citi applied a perpetuity growth rate of 2.0% to 3.0% to Green Dot’s estimated dividends for the terminal year period, based on the Green Dot Prospective Financial Information. </w:t>
      </w:r>
      <w:r>
        <w:rPr>
          <w:rFonts w:ascii="Times New Roman" w:cs="Times New Roman" w:eastAsia="Times New Roman" w:hAnsi="Times New Roman"/>
          <w:sz w:val="15"/>
          <w:szCs w:val="15"/>
          <w:u w:val="single" w:color="auto"/>
          <w:color w:val="auto"/>
        </w:rPr>
        <w:t>The undiscounted terminal value indicated by this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 xml:space="preserve">analysis, assuming a 2.5% perpetuity growth rate (the midpoint of the selected range) and a 12.63% discount rate (the midpoint of the selected range noted below), was $1,160 million. </w:t>
      </w:r>
      <w:r>
        <w:rPr>
          <w:rFonts w:ascii="Times New Roman" w:cs="Times New Roman" w:eastAsia="Times New Roman" w:hAnsi="Times New Roman"/>
          <w:sz w:val="15"/>
          <w:szCs w:val="15"/>
          <w:color w:val="auto"/>
        </w:rPr>
        <w:t xml:space="preserve">The present values (as of September 30, 2025) of the dividends and implied terminal values were then calculated using a selected range of discount rates of 12.00% to 13.25% </w:t>
      </w:r>
      <w:r>
        <w:rPr>
          <w:rFonts w:ascii="Times New Roman" w:cs="Times New Roman" w:eastAsia="Times New Roman" w:hAnsi="Times New Roman"/>
          <w:sz w:val="15"/>
          <w:szCs w:val="15"/>
          <w:u w:val="single" w:color="auto"/>
          <w:color w:val="auto"/>
        </w:rPr>
        <w:t>(selected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by Citi using its professional judgment and experience and application of the capital asset pricing model)</w:t>
      </w:r>
      <w:r>
        <w:rPr>
          <w:rFonts w:ascii="Times New Roman" w:cs="Times New Roman" w:eastAsia="Times New Roman" w:hAnsi="Times New Roman"/>
          <w:sz w:val="15"/>
          <w:szCs w:val="15"/>
          <w:color w:val="auto"/>
        </w:rPr>
        <w:t>. This analysis indicated an approximate implied per share equity value reference range, rounded to the nearest $0.05, for Green Dot Class A Common Stock of $13.15 to $16.30, as compared to the ranges of value for the Green Dot Merger Consideration indicated by Citi’s analyses described under “</w:t>
      </w:r>
      <w:r>
        <w:rPr>
          <w:rFonts w:ascii="Times New Roman" w:cs="Times New Roman" w:eastAsia="Times New Roman" w:hAnsi="Times New Roman"/>
          <w:sz w:val="15"/>
          <w:szCs w:val="15"/>
          <w:i w:val="1"/>
          <w:iCs w:val="1"/>
          <w:color w:val="auto"/>
        </w:rPr>
        <w:t>—Summary of Financial Analyses of Citi—The Green Dot Merger Consideration.</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549" w:hanging="549"/>
        <w:spacing w:after="0" w:line="275" w:lineRule="auto"/>
        <w:tabs>
          <w:tab w:leader="none" w:pos="549" w:val="left"/>
        </w:tabs>
        <w:numPr>
          <w:ilvl w:val="0"/>
          <w:numId w:val="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Citi—Green Dot—Present Value of Future Share Price Analysis” in the proxy statement/prospectus is hereby amended by adding the following underlined language to the fourth sentence of the first full paragraph on page 150 of the proxy statement/prospectus:</w:t>
      </w:r>
    </w:p>
    <w:p>
      <w:pPr>
        <w:spacing w:after="0" w:line="143" w:lineRule="exact"/>
        <w:rPr>
          <w:sz w:val="20"/>
          <w:szCs w:val="20"/>
          <w:color w:val="auto"/>
        </w:rPr>
      </w:pPr>
    </w:p>
    <w:p>
      <w:pPr>
        <w:ind w:left="9" w:right="380" w:firstLine="549"/>
        <w:spacing w:after="0" w:line="289" w:lineRule="auto"/>
        <w:rPr>
          <w:sz w:val="20"/>
          <w:szCs w:val="20"/>
          <w:color w:val="auto"/>
        </w:rPr>
      </w:pPr>
      <w:r>
        <w:rPr>
          <w:rFonts w:ascii="Times New Roman" w:cs="Times New Roman" w:eastAsia="Times New Roman" w:hAnsi="Times New Roman"/>
          <w:sz w:val="15"/>
          <w:szCs w:val="15"/>
          <w:color w:val="auto"/>
        </w:rPr>
        <w:t>Citi discounted the resulting future equity values per share to September 30, 2025 using a discount rate equal to the midpoint of the range of Green Dot’s assumed cost of equity of 12.6% (which cost of equity was selected based on the application of Citi’s professional judgment and experience and application of the capital asset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-43180</wp:posOffset>
            </wp:positionV>
            <wp:extent cx="19246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4685" cy="6985"/>
                    </a:xfrm>
                    <a:prstGeom prst="rect">
                      <a:avLst/>
                    </a:prstGeom>
                    <a:noFill/>
                  </pic:spPr>
                </pic:pic>
              </a:graphicData>
            </a:graphic>
          </wp:anchor>
        </w:drawing>
      </w:r>
    </w:p>
    <w:p>
      <w:pPr>
        <w:spacing w:after="0" w:line="110" w:lineRule="exact"/>
        <w:rPr>
          <w:sz w:val="20"/>
          <w:szCs w:val="20"/>
          <w:color w:val="auto"/>
        </w:rPr>
      </w:pPr>
    </w:p>
    <w:p>
      <w:pPr>
        <w:ind w:left="549" w:right="120" w:hanging="549"/>
        <w:spacing w:after="0" w:line="275" w:lineRule="auto"/>
        <w:tabs>
          <w:tab w:leader="none" w:pos="549" w:val="left"/>
        </w:tabs>
        <w:numPr>
          <w:ilvl w:val="0"/>
          <w:numId w:val="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Citi—Certain Additional Information—Equity Research Analyst Price Targets” in the proxy statement/prospectus is hereby amended by adding the following underlined language to and deleting the stricken-through language from the third and fourth sentences to the fourth full paragraph on page 150 of the proxy statement/prospectus:</w:t>
      </w:r>
    </w:p>
    <w:p>
      <w:pPr>
        <w:spacing w:after="0" w:line="143" w:lineRule="exact"/>
        <w:rPr>
          <w:sz w:val="20"/>
          <w:szCs w:val="20"/>
          <w:color w:val="auto"/>
        </w:rPr>
      </w:pPr>
    </w:p>
    <w:p>
      <w:pPr>
        <w:ind w:left="9" w:right="140" w:firstLine="549"/>
        <w:spacing w:after="0" w:line="272"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color w:val="auto"/>
          <w:strike w:val="1"/>
        </w:rPr>
        <w:t>range of</w:t>
      </w:r>
      <w:r>
        <w:rPr>
          <w:rFonts w:ascii="Times New Roman" w:cs="Times New Roman" w:eastAsia="Times New Roman" w:hAnsi="Times New Roman"/>
          <w:sz w:val="15"/>
          <w:szCs w:val="15"/>
          <w:color w:val="auto"/>
        </w:rPr>
        <w:t xml:space="preserve"> undiscounted sell-side analyst price targets for shares of Green Dot Class A Common Stock </w:t>
      </w:r>
      <w:r>
        <w:rPr>
          <w:rFonts w:ascii="Times New Roman" w:cs="Times New Roman" w:eastAsia="Times New Roman" w:hAnsi="Times New Roman"/>
          <w:sz w:val="15"/>
          <w:szCs w:val="15"/>
          <w:color w:val="auto"/>
          <w:strike w:val="1"/>
        </w:rPr>
        <w:t>was $18.00 to $20.00 per share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by the two analysts were $18.00 per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 and $20.00 per share</w:t>
      </w:r>
      <w:r>
        <w:rPr>
          <w:rFonts w:ascii="Times New Roman" w:cs="Times New Roman" w:eastAsia="Times New Roman" w:hAnsi="Times New Roman"/>
          <w:sz w:val="15"/>
          <w:szCs w:val="15"/>
          <w:color w:val="auto"/>
        </w:rPr>
        <w:t>. To facilitate a comparison with the Green Dot Merger Consideration, Citi discounted the price target range to present value by applying, for a one-year discount period, an illustrative discount rate of 12.63%, which was selected by Citi based on Green Dot’s assumed cost of equity and application of the capital asset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-35560</wp:posOffset>
            </wp:positionV>
            <wp:extent cx="19246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4685" cy="6985"/>
                    </a:xfrm>
                    <a:prstGeom prst="rect">
                      <a:avLst/>
                    </a:prstGeom>
                    <a:noFill/>
                  </pic:spPr>
                </pic:pic>
              </a:graphicData>
            </a:graphic>
          </wp:anchor>
        </w:drawing>
      </w:r>
    </w:p>
    <w:p>
      <w:pPr>
        <w:spacing w:after="0" w:line="121" w:lineRule="exact"/>
        <w:rPr>
          <w:sz w:val="20"/>
          <w:szCs w:val="20"/>
          <w:color w:val="auto"/>
        </w:rPr>
      </w:pPr>
    </w:p>
    <w:p>
      <w:pPr>
        <w:ind w:left="549" w:right="40" w:hanging="549"/>
        <w:spacing w:after="0" w:line="275" w:lineRule="auto"/>
        <w:tabs>
          <w:tab w:leader="none" w:pos="549" w:val="left"/>
        </w:tabs>
        <w:numPr>
          <w:ilvl w:val="0"/>
          <w:numId w:val="10"/>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Advisor—Summary of Financial Analyses of Citi—Certain Additional Information—Premiums Paid Analysis” in the proxy statement/prospectus is hereby amended by adding the following underlined language to the first sentence of the last paragraph beginning on page 150 of the proxy statement/prospectus:</w:t>
      </w:r>
    </w:p>
    <w:p>
      <w:pPr>
        <w:spacing w:after="0" w:line="143" w:lineRule="exact"/>
        <w:rPr>
          <w:sz w:val="20"/>
          <w:szCs w:val="20"/>
          <w:color w:val="auto"/>
        </w:rPr>
      </w:pPr>
    </w:p>
    <w:p>
      <w:pPr>
        <w:ind w:left="9" w:right="360" w:firstLine="549"/>
        <w:spacing w:after="0" w:line="289" w:lineRule="auto"/>
        <w:rPr>
          <w:sz w:val="20"/>
          <w:szCs w:val="20"/>
          <w:color w:val="auto"/>
        </w:rPr>
      </w:pPr>
      <w:r>
        <w:rPr>
          <w:rFonts w:ascii="Times New Roman" w:cs="Times New Roman" w:eastAsia="Times New Roman" w:hAnsi="Times New Roman"/>
          <w:sz w:val="15"/>
          <w:szCs w:val="15"/>
          <w:color w:val="auto"/>
        </w:rPr>
        <w:t xml:space="preserve">Citi reviewed one-day premiums to the unaffected share price reflected in </w:t>
      </w:r>
      <w:r>
        <w:rPr>
          <w:rFonts w:ascii="Times New Roman" w:cs="Times New Roman" w:eastAsia="Times New Roman" w:hAnsi="Times New Roman"/>
          <w:sz w:val="15"/>
          <w:szCs w:val="15"/>
          <w:u w:val="single" w:color="auto"/>
          <w:color w:val="auto"/>
        </w:rPr>
        <w:t>approximately 850 control</w:t>
      </w:r>
      <w:r>
        <w:rPr>
          <w:rFonts w:ascii="Times New Roman" w:cs="Times New Roman" w:eastAsia="Times New Roman" w:hAnsi="Times New Roman"/>
          <w:sz w:val="15"/>
          <w:szCs w:val="15"/>
          <w:color w:val="auto"/>
        </w:rPr>
        <w:t xml:space="preserve"> acquisitions of U.S. public companies from January 1, 2015 through 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5" w:right="319" w:bottom="1440" w:gutter="0" w:footer="0" w:header="0"/>
        </w:sectPr>
      </w:pPr>
    </w:p>
    <w:bookmarkStart w:id="5" w:name="page6"/>
    <w:bookmarkEnd w:id="5"/>
    <w:p>
      <w:pPr>
        <w:ind w:left="549" w:right="80" w:hanging="549"/>
        <w:spacing w:after="0" w:line="275" w:lineRule="auto"/>
        <w:tabs>
          <w:tab w:leader="none" w:pos="549" w:val="left"/>
        </w:tabs>
        <w:numPr>
          <w:ilvl w:val="0"/>
          <w:numId w:val="11"/>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Green Dot’s Financial Advisor—Miscellaneous” in the proxy statement/prospectus is hereby amended by adding the following underlined language to and deleting the stricken-through language from the first sentence of the first full paragraph on page 151 of the proxy statement/prospectus:</w:t>
      </w:r>
    </w:p>
    <w:p>
      <w:pPr>
        <w:spacing w:after="0" w:line="143" w:lineRule="exact"/>
        <w:rPr>
          <w:sz w:val="20"/>
          <w:szCs w:val="20"/>
          <w:color w:val="auto"/>
        </w:rPr>
      </w:pPr>
    </w:p>
    <w:p>
      <w:pPr>
        <w:jc w:val="both"/>
        <w:ind w:left="9" w:right="40" w:firstLine="549"/>
        <w:spacing w:after="0" w:line="266" w:lineRule="auto"/>
        <w:rPr>
          <w:sz w:val="20"/>
          <w:szCs w:val="20"/>
          <w:color w:val="auto"/>
        </w:rPr>
      </w:pPr>
      <w:r>
        <w:rPr>
          <w:rFonts w:ascii="Times New Roman" w:cs="Times New Roman" w:eastAsia="Times New Roman" w:hAnsi="Times New Roman"/>
          <w:sz w:val="15"/>
          <w:szCs w:val="15"/>
          <w:color w:val="auto"/>
        </w:rPr>
        <w:t>Citi has acted as financial advisor to Green Dot in connection with the transactions contemplated by the Merger Agreement and the Separation Agreement and will receive an aggregate fee, estimated based on information available as of the date of this proxy statement/prospectus, to be approximately $</w:t>
      </w:r>
      <w:r>
        <w:rPr>
          <w:rFonts w:ascii="Times New Roman" w:cs="Times New Roman" w:eastAsia="Times New Roman" w:hAnsi="Times New Roman"/>
          <w:sz w:val="15"/>
          <w:szCs w:val="15"/>
          <w:color w:val="auto"/>
          <w:strike w:val="1"/>
        </w:rPr>
        <w:t>13</w:t>
      </w:r>
      <w:r>
        <w:rPr>
          <w:rFonts w:ascii="Times New Roman" w:cs="Times New Roman" w:eastAsia="Times New Roman" w:hAnsi="Times New Roman"/>
          <w:sz w:val="15"/>
          <w:szCs w:val="15"/>
          <w:u w:val="single" w:color="auto"/>
          <w:color w:val="auto"/>
        </w:rPr>
        <w:t>14</w:t>
      </w:r>
      <w:r>
        <w:rPr>
          <w:rFonts w:ascii="Times New Roman" w:cs="Times New Roman" w:eastAsia="Times New Roman" w:hAnsi="Times New Roman"/>
          <w:sz w:val="15"/>
          <w:szCs w:val="15"/>
          <w:color w:val="auto"/>
        </w:rPr>
        <w:t xml:space="preserve"> million for such services, of which $3 million was payable in connection with the delivery of Citi’s opinion to the Green Dot Board and </w:t>
      </w:r>
      <w:r>
        <w:rPr>
          <w:rFonts w:ascii="Times New Roman" w:cs="Times New Roman" w:eastAsia="Times New Roman" w:hAnsi="Times New Roman"/>
          <w:sz w:val="15"/>
          <w:szCs w:val="15"/>
          <w:color w:val="auto"/>
          <w:strike w:val="1"/>
        </w:rPr>
        <w:t>a significant portion</w:t>
      </w:r>
      <w:r>
        <w:rPr>
          <w:rFonts w:ascii="Times New Roman" w:cs="Times New Roman" w:eastAsia="Times New Roman" w:hAnsi="Times New Roman"/>
          <w:sz w:val="15"/>
          <w:szCs w:val="15"/>
          <w:color w:val="auto"/>
        </w:rPr>
        <w:t xml:space="preserve"> of which </w:t>
      </w:r>
      <w:r>
        <w:rPr>
          <w:rFonts w:ascii="Times New Roman" w:cs="Times New Roman" w:eastAsia="Times New Roman" w:hAnsi="Times New Roman"/>
          <w:sz w:val="15"/>
          <w:szCs w:val="15"/>
          <w:u w:val="single" w:color="auto"/>
          <w:color w:val="auto"/>
        </w:rPr>
        <w:t>$11 million</w:t>
      </w:r>
      <w:r>
        <w:rPr>
          <w:rFonts w:ascii="Times New Roman" w:cs="Times New Roman" w:eastAsia="Times New Roman" w:hAnsi="Times New Roman"/>
          <w:sz w:val="15"/>
          <w:szCs w:val="15"/>
          <w:color w:val="auto"/>
        </w:rPr>
        <w:t xml:space="preserve"> is contingent upon the consummation of the transactions contemplated by the Merger Agreement and the Separation Agreement.</w:t>
      </w:r>
    </w:p>
    <w:p>
      <w:pPr>
        <w:spacing w:after="0" w:line="146" w:lineRule="exact"/>
        <w:rPr>
          <w:sz w:val="20"/>
          <w:szCs w:val="20"/>
          <w:color w:val="auto"/>
        </w:rPr>
      </w:pPr>
    </w:p>
    <w:p>
      <w:pPr>
        <w:ind w:left="549" w:right="40" w:hanging="549"/>
        <w:spacing w:after="0" w:line="275" w:lineRule="auto"/>
        <w:tabs>
          <w:tab w:leader="none" w:pos="549" w:val="left"/>
        </w:tabs>
        <w:numPr>
          <w:ilvl w:val="0"/>
          <w:numId w:val="1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Selected Public Companies Analysis—BaaS Group” in the proxy statement/prospectus is hereby amended by replacing the previously included list of BaaS Group companies on page 154 of the proxy statement/prospectus with the following table and underlined language:</w:t>
      </w:r>
    </w:p>
    <w:p>
      <w:pPr>
        <w:spacing w:after="0" w:line="1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Selected Companies Analysis – BaaS Group</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TCE /</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Effcy.</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10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ROAA</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ROAE</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NIM</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Ratio</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TBV</w:t>
            </w:r>
          </w:p>
        </w:tc>
        <w:tc>
          <w:tcPr>
            <w:tcW w:w="62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89"/>
              </w:rPr>
              <w:t>EPS</w:t>
            </w:r>
            <w:r>
              <w:rPr>
                <w:rFonts w:ascii="Times New Roman" w:cs="Times New Roman" w:eastAsia="Times New Roman" w:hAnsi="Times New Roman"/>
                <w:sz w:val="25"/>
                <w:szCs w:val="25"/>
                <w:b w:val="1"/>
                <w:bCs w:val="1"/>
                <w:color w:val="auto"/>
                <w:w w:val="89"/>
                <w:vertAlign w:val="superscript"/>
              </w:rPr>
              <w:t>(1)</w:t>
            </w:r>
          </w:p>
        </w:tc>
        <w:tc>
          <w:tcPr>
            <w:tcW w:w="100" w:type="dxa"/>
            <w:vAlign w:val="bottom"/>
          </w:tcPr>
          <w:p>
            <w:pPr>
              <w:spacing w:after="0"/>
              <w:rPr>
                <w:sz w:val="19"/>
                <w:szCs w:val="19"/>
                <w:color w:val="auto"/>
              </w:rPr>
            </w:pPr>
          </w:p>
        </w:tc>
        <w:tc>
          <w:tcPr>
            <w:tcW w:w="64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93"/>
              </w:rPr>
              <w:t>EPS</w:t>
            </w:r>
            <w:r>
              <w:rPr>
                <w:rFonts w:ascii="Times New Roman" w:cs="Times New Roman" w:eastAsia="Times New Roman" w:hAnsi="Times New Roman"/>
                <w:sz w:val="25"/>
                <w:szCs w:val="25"/>
                <w:b w:val="1"/>
                <w:bCs w:val="1"/>
                <w:color w:val="auto"/>
                <w:w w:val="93"/>
                <w:vertAlign w:val="superscript"/>
              </w:rPr>
              <w:t>(1)</w:t>
            </w:r>
          </w:p>
        </w:tc>
        <w:tc>
          <w:tcPr>
            <w:tcW w:w="100" w:type="dxa"/>
            <w:vAlign w:val="bottom"/>
          </w:tcPr>
          <w:p>
            <w:pPr>
              <w:spacing w:after="0"/>
              <w:rPr>
                <w:sz w:val="19"/>
                <w:szCs w:val="19"/>
                <w:color w:val="auto"/>
              </w:rPr>
            </w:pPr>
          </w:p>
        </w:tc>
      </w:tr>
      <w:tr>
        <w:trPr>
          <w:trHeight w:val="186"/>
        </w:trPr>
        <w:tc>
          <w:tcPr>
            <w:tcW w:w="2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80" w:type="dxa"/>
            <w:vAlign w:val="bottom"/>
          </w:tcPr>
          <w:p>
            <w:pPr>
              <w:spacing w:after="0"/>
              <w:rPr>
                <w:sz w:val="16"/>
                <w:szCs w:val="16"/>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(x)</w:t>
            </w:r>
          </w:p>
        </w:tc>
        <w:tc>
          <w:tcPr>
            <w:tcW w:w="100" w:type="dxa"/>
            <w:vAlign w:val="bottom"/>
          </w:tcPr>
          <w:p>
            <w:pPr>
              <w:spacing w:after="0"/>
              <w:rPr>
                <w:sz w:val="16"/>
                <w:szCs w:val="16"/>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The Bancorp, Inc.</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8,599</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2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27.81</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tcPr>
          <w:p>
            <w:pPr>
              <w:spacing w:after="0"/>
              <w:rPr>
                <w:sz w:val="16"/>
                <w:szCs w:val="16"/>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w w:val="91"/>
              </w:rPr>
              <w:t>1.53</w:t>
            </w: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2,724.2</w:t>
            </w: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629,958</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355.4</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Metropolitan Bank Holding Corp.</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104,526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104.9</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Central Pacific Financial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7,421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11.86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61.1</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0.19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797.0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146,515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135.9</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9.4</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Pathward Financial,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1,598.6</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185,085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291.9</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Republic Bancorp,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7,015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51.9</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0.33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1,325.2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22,767</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11.1</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Midland States Bancorp,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146,268</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Triumph Financial,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6,357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6.46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90.5</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1.09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239,149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271.8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NM</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NM</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Internet Bancorp</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0.72</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55,905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Third Coast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5,062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8.51</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56.3</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0.38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515.6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70,141</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Coastal Financial Corporation</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4,553</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0.59</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1,554.0</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117,646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MVB Financial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3,233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10.65</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96.2</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0.83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327.9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35,009</w:t>
            </w: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100.6</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13.1</w:t>
            </w:r>
          </w:p>
        </w:tc>
      </w:tr>
      <w:tr>
        <w:trPr>
          <w:trHeight w:val="186"/>
        </w:trPr>
        <w:tc>
          <w:tcPr>
            <w:tcW w:w="20" w:type="dxa"/>
            <w:vAlign w:val="bottom"/>
            <w:tcBorders>
              <w:top w:val="single" w:sz="8" w:color="auto"/>
            </w:tcBorders>
          </w:tcPr>
          <w:p>
            <w:pPr>
              <w:spacing w:after="0"/>
              <w:rPr>
                <w:sz w:val="16"/>
                <w:szCs w:val="16"/>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Cass Information Systems, Inc.</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w w:val="91"/>
              </w:rPr>
              <w:t>1.14</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78,337</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Esquire Financial Holdings, Inc.</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2,184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12.78</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19.68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48.5</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0.40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813.4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65,634</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307.3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16.0</w:t>
            </w:r>
          </w:p>
        </w:tc>
      </w:tr>
      <w:tr>
        <w:trPr>
          <w:trHeight w:val="23"/>
        </w:trPr>
        <w:tc>
          <w:tcPr>
            <w:tcW w:w="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269" w:hanging="269"/>
        <w:spacing w:after="0"/>
        <w:tabs>
          <w:tab w:leader="none" w:pos="269" w:val="left"/>
        </w:tabs>
        <w:numPr>
          <w:ilvl w:val="0"/>
          <w:numId w:val="13"/>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u w:val="single" w:color="auto"/>
          <w:color w:val="auto"/>
        </w:rPr>
      </w:pPr>
    </w:p>
    <w:p>
      <w:pPr>
        <w:ind w:left="549" w:right="60" w:hanging="274"/>
        <w:spacing w:after="0" w:line="263"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u w:val="single" w:color="auto"/>
          <w:color w:val="auto"/>
        </w:rPr>
      </w:pPr>
    </w:p>
    <w:p>
      <w:pPr>
        <w:ind w:left="549" w:right="160" w:hanging="274"/>
        <w:spacing w:after="0" w:line="289"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6" w:name="page7"/>
    <w:bookmarkEnd w:id="6"/>
    <w:p>
      <w:pPr>
        <w:ind w:left="549" w:right="180" w:hanging="549"/>
        <w:spacing w:after="0" w:line="275" w:lineRule="auto"/>
        <w:tabs>
          <w:tab w:leader="none" w:pos="549" w:val="left"/>
        </w:tabs>
        <w:numPr>
          <w:ilvl w:val="0"/>
          <w:numId w:val="1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Selected Public Companies Analysis—Traditional Group” in the proxy statement/prospectus is hereby amended by replacing the previously included list of Traditional Group companies on page 155 of the proxy statement/prospectus with the following table and underlined language:</w:t>
      </w:r>
    </w:p>
    <w:p>
      <w:pPr>
        <w:spacing w:after="0" w:line="1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Selected Companies Analysis – Traditional Group</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Effcy.</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1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ROAA</w:t>
            </w:r>
          </w:p>
        </w:tc>
        <w:tc>
          <w:tcPr>
            <w:tcW w:w="12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ROAE</w:t>
            </w:r>
          </w:p>
        </w:tc>
        <w:tc>
          <w:tcPr>
            <w:tcW w:w="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NIM</w:t>
            </w:r>
          </w:p>
        </w:tc>
        <w:tc>
          <w:tcPr>
            <w:tcW w:w="120" w:type="dxa"/>
            <w:vAlign w:val="bottom"/>
          </w:tcPr>
          <w:p>
            <w:pPr>
              <w:spacing w:after="0"/>
              <w:rPr>
                <w:sz w:val="19"/>
                <w:szCs w:val="19"/>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Ratio</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TBV</w:t>
            </w:r>
          </w:p>
        </w:tc>
        <w:tc>
          <w:tcPr>
            <w:tcW w:w="60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89"/>
              </w:rPr>
              <w:t>EPS</w:t>
            </w:r>
            <w:r>
              <w:rPr>
                <w:rFonts w:ascii="Times New Roman" w:cs="Times New Roman" w:eastAsia="Times New Roman" w:hAnsi="Times New Roman"/>
                <w:sz w:val="25"/>
                <w:szCs w:val="25"/>
                <w:b w:val="1"/>
                <w:bCs w:val="1"/>
                <w:color w:val="auto"/>
                <w:w w:val="89"/>
                <w:vertAlign w:val="superscript"/>
              </w:rPr>
              <w:t>(1)</w:t>
            </w:r>
          </w:p>
        </w:tc>
        <w:tc>
          <w:tcPr>
            <w:tcW w:w="100" w:type="dxa"/>
            <w:vAlign w:val="bottom"/>
          </w:tcPr>
          <w:p>
            <w:pPr>
              <w:spacing w:after="0"/>
              <w:rPr>
                <w:sz w:val="19"/>
                <w:szCs w:val="19"/>
                <w:color w:val="auto"/>
              </w:rPr>
            </w:pPr>
          </w:p>
        </w:tc>
        <w:tc>
          <w:tcPr>
            <w:tcW w:w="62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89"/>
              </w:rPr>
              <w:t>EPS</w:t>
            </w:r>
            <w:r>
              <w:rPr>
                <w:rFonts w:ascii="Times New Roman" w:cs="Times New Roman" w:eastAsia="Times New Roman" w:hAnsi="Times New Roman"/>
                <w:sz w:val="25"/>
                <w:szCs w:val="25"/>
                <w:b w:val="1"/>
                <w:bCs w:val="1"/>
                <w:color w:val="auto"/>
                <w:w w:val="89"/>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60" w:type="dxa"/>
            <w:vAlign w:val="bottom"/>
          </w:tcPr>
          <w:p>
            <w:pPr>
              <w:spacing w:after="0"/>
              <w:rPr>
                <w:sz w:val="16"/>
                <w:szCs w:val="16"/>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6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2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Camden National Corporation</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6,982</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0.86</w:t>
            </w:r>
          </w:p>
        </w:tc>
        <w:tc>
          <w:tcPr>
            <w:tcW w:w="12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675.4</w:t>
            </w:r>
          </w:p>
        </w:tc>
        <w:tc>
          <w:tcPr>
            <w:tcW w:w="1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68,780</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w:t>
            </w:r>
          </w:p>
        </w:tc>
        <w:tc>
          <w:tcPr>
            <w:tcW w:w="1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Northpointe Bancshares,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148,881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Shore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0.94</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554.2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146,328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SmartFinancial,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607.4</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58,250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Bridgewater Bancshares,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5,360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8.72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52.8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468.7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108,040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113.8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Alerus Financial Corporation</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75,482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Peoples Financial Services Corp.</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5,160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483.9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29,965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119.8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Bar Harbor Bankshares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53,737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Arrow Financial Corporation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4,587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0.79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8.51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498.5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43,138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 Bancorporation,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Community West Bancshares</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3,612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9.04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62.1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425.5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61,073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9"/>
              </w:rPr>
              <w:t>Farmers &amp; Merchants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3,391</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19,776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Bankwell Financial Group,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3,244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10.40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55.3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0.56</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345.0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32,414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FS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15,748</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The First Bancorp, Inc.</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3,198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12.03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287.2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20,159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117.7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6"/>
        </w:trPr>
        <w:tc>
          <w:tcPr>
            <w:tcW w:w="20" w:type="dxa"/>
            <w:vAlign w:val="bottom"/>
            <w:tcBorders>
              <w:top w:val="single" w:sz="8" w:color="auto"/>
            </w:tcBorders>
          </w:tcPr>
          <w:p>
            <w:pPr>
              <w:spacing w:after="0"/>
              <w:rPr>
                <w:sz w:val="16"/>
                <w:szCs w:val="16"/>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Colony Bankcorp, Inc.</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293.3</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55,093</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Citizens Financial Services, Inc.</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3,056</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0.75</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274.9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8,854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114.5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3"/>
        </w:trPr>
        <w:tc>
          <w:tcPr>
            <w:tcW w:w="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269" w:hanging="269"/>
        <w:spacing w:after="0"/>
        <w:tabs>
          <w:tab w:leader="none" w:pos="269" w:val="left"/>
        </w:tabs>
        <w:numPr>
          <w:ilvl w:val="0"/>
          <w:numId w:val="15"/>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u w:val="single" w:color="auto"/>
          <w:color w:val="auto"/>
        </w:rPr>
      </w:pPr>
    </w:p>
    <w:p>
      <w:pPr>
        <w:ind w:left="549" w:right="60" w:hanging="274"/>
        <w:spacing w:after="0" w:line="263"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u w:val="single" w:color="auto"/>
          <w:color w:val="auto"/>
        </w:rPr>
      </w:pPr>
    </w:p>
    <w:p>
      <w:pPr>
        <w:ind w:left="549" w:right="140" w:hanging="274"/>
        <w:spacing w:after="0" w:line="289" w:lineRule="auto"/>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color w:val="auto"/>
        </w:rPr>
        <w:t xml:space="preserve">o </w:t>
      </w: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7" w:name="page8"/>
    <w:bookmarkEnd w:id="7"/>
    <w:p>
      <w:pPr>
        <w:ind w:left="549" w:right="240" w:hanging="549"/>
        <w:spacing w:after="0" w:line="275" w:lineRule="auto"/>
        <w:tabs>
          <w:tab w:leader="none" w:pos="549" w:val="left"/>
        </w:tabs>
        <w:numPr>
          <w:ilvl w:val="0"/>
          <w:numId w:val="1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Comparable Selected Precedent Transactions” in the proxy statement/prospectus is hereby amended by replacing the previously included list of Green Dot Selected Transactions group transactions on page 156 of the proxy statement/prospectus with the following table and underlined language:</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Green Dot Comparable Selected Transactions: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ind w:left="720"/>
              <w:spacing w:after="0"/>
              <w:rPr>
                <w:sz w:val="20"/>
                <w:szCs w:val="20"/>
                <w:color w:val="auto"/>
              </w:rPr>
            </w:pPr>
            <w:r>
              <w:rPr>
                <w:rFonts w:ascii="Times New Roman" w:cs="Times New Roman" w:eastAsia="Times New Roman" w:hAnsi="Times New Roman"/>
                <w:sz w:val="15"/>
                <w:szCs w:val="15"/>
                <w:b w:val="1"/>
                <w:bCs w:val="1"/>
                <w:color w:val="auto"/>
              </w:rPr>
              <w:t>Acquiror</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6"/>
          </w:tcPr>
          <w:p>
            <w:pPr>
              <w:ind w:left="300"/>
              <w:spacing w:after="0"/>
              <w:rPr>
                <w:sz w:val="20"/>
                <w:szCs w:val="20"/>
                <w:color w:val="auto"/>
              </w:rPr>
            </w:pPr>
            <w:r>
              <w:rPr>
                <w:rFonts w:ascii="Times New Roman" w:cs="Times New Roman" w:eastAsia="Times New Roman" w:hAnsi="Times New Roman"/>
                <w:sz w:val="15"/>
                <w:szCs w:val="15"/>
                <w:b w:val="1"/>
                <w:bCs w:val="1"/>
                <w:color w:val="auto"/>
              </w:rPr>
              <w:t>Transaction Details</w:t>
            </w:r>
          </w:p>
        </w:tc>
      </w:tr>
      <w:tr>
        <w:trPr>
          <w:trHeight w:val="186"/>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6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6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6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6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8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1060" w:type="dxa"/>
            <w:vAlign w:val="bottom"/>
            <w:tcBorders>
              <w:top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0" w:type="dxa"/>
            <w:vAlign w:val="bottom"/>
          </w:tcPr>
          <w:p>
            <w:pPr>
              <w:spacing w:after="0"/>
              <w:rPr>
                <w:sz w:val="16"/>
                <w:szCs w:val="16"/>
                <w:color w:val="auto"/>
              </w:rPr>
            </w:pPr>
          </w:p>
        </w:tc>
      </w:tr>
      <w:tr>
        <w:trPr>
          <w:trHeight w:val="164"/>
        </w:trPr>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LTM</w:t>
            </w:r>
          </w:p>
        </w:tc>
        <w:tc>
          <w:tcPr>
            <w:tcW w:w="60" w:type="dxa"/>
            <w:vAlign w:val="bottom"/>
          </w:tcPr>
          <w:p>
            <w:pPr>
              <w:spacing w:after="0"/>
              <w:rPr>
                <w:sz w:val="14"/>
                <w:szCs w:val="14"/>
                <w:color w:val="auto"/>
              </w:rPr>
            </w:pPr>
          </w:p>
        </w:tc>
      </w:tr>
      <w:tr>
        <w:trPr>
          <w:trHeight w:val="204"/>
        </w:trPr>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Close</w:t>
            </w:r>
          </w:p>
        </w:tc>
        <w:tc>
          <w:tcPr>
            <w:tcW w:w="20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ROAA</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ROAE</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TBV</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EPS</w:t>
            </w:r>
          </w:p>
        </w:tc>
      </w:tr>
      <w:tr>
        <w:trPr>
          <w:trHeight w:val="186"/>
        </w:trPr>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720" w:type="dxa"/>
            <w:vAlign w:val="bottom"/>
            <w:tcBorders>
              <w:top w:val="single" w:sz="8" w:color="auto"/>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60" w:type="dxa"/>
            <w:vAlign w:val="bottom"/>
          </w:tcPr>
          <w:p>
            <w:pPr>
              <w:spacing w:after="0"/>
              <w:rPr>
                <w:sz w:val="16"/>
                <w:szCs w:val="16"/>
                <w:color w:val="auto"/>
              </w:rPr>
            </w:pPr>
          </w:p>
        </w:tc>
      </w:tr>
      <w:tr>
        <w:trPr>
          <w:trHeight w:val="183"/>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2400" w:type="dxa"/>
            <w:vAlign w:val="bottom"/>
            <w:gridSpan w:val="3"/>
          </w:tcPr>
          <w:p>
            <w:pPr>
              <w:spacing w:after="0"/>
              <w:rPr>
                <w:sz w:val="15"/>
                <w:szCs w:val="15"/>
                <w:color w:val="auto"/>
              </w:rPr>
            </w:pPr>
          </w:p>
        </w:tc>
        <w:tc>
          <w:tcPr>
            <w:tcW w:w="760" w:type="dxa"/>
            <w:vAlign w:val="bottom"/>
            <w:gridSpan w:val="2"/>
          </w:tcPr>
          <w:p>
            <w:pPr>
              <w:spacing w:after="0"/>
              <w:rPr>
                <w:sz w:val="15"/>
                <w:szCs w:val="15"/>
                <w:color w:val="auto"/>
              </w:rPr>
            </w:pPr>
          </w:p>
        </w:tc>
        <w:tc>
          <w:tcPr>
            <w:tcW w:w="620" w:type="dxa"/>
            <w:vAlign w:val="bottom"/>
            <w:gridSpan w:val="2"/>
          </w:tcPr>
          <w:p>
            <w:pPr>
              <w:spacing w:after="0"/>
              <w:rPr>
                <w:sz w:val="15"/>
                <w:szCs w:val="15"/>
                <w:color w:val="auto"/>
              </w:rPr>
            </w:pPr>
          </w:p>
        </w:tc>
        <w:tc>
          <w:tcPr>
            <w:tcW w:w="6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54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r>
      <w:tr>
        <w:trPr>
          <w:trHeight w:val="186"/>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02/13/26</w:t>
            </w:r>
          </w:p>
        </w:tc>
        <w:tc>
          <w:tcPr>
            <w:tcW w:w="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Nicolet Bankshares, Inc.</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9,029</w:t>
            </w:r>
          </w:p>
        </w:tc>
        <w:tc>
          <w:tcPr>
            <w:tcW w:w="2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MidWestOne Financial Group, Inc.</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6,250</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8.36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0.94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0.52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866.3</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165.7</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w:t>
            </w:r>
          </w:p>
        </w:tc>
      </w:tr>
      <w:tr>
        <w:trPr>
          <w:trHeight w:val="186"/>
        </w:trPr>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07/01/25</w:t>
            </w:r>
          </w:p>
        </w:tc>
        <w:tc>
          <w:tcPr>
            <w:tcW w:w="60" w:type="dxa"/>
            <w:vAlign w:val="bottom"/>
            <w:tcBorders>
              <w:top w:val="single" w:sz="8" w:color="auto"/>
              <w:bottom w:val="single" w:sz="8" w:color="auto"/>
            </w:tcBorders>
          </w:tcPr>
          <w:p>
            <w:pPr>
              <w:spacing w:after="0"/>
              <w:rPr>
                <w:sz w:val="16"/>
                <w:szCs w:val="16"/>
                <w:color w:val="auto"/>
              </w:rPr>
            </w:pPr>
          </w:p>
        </w:tc>
        <w:tc>
          <w:tcPr>
            <w:tcW w:w="2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Independent Bank Corp.</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19,408</w:t>
            </w: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Enterprise Bancorp, Inc.</w:t>
            </w: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80" w:type="dxa"/>
            <w:vAlign w:val="bottom"/>
            <w:tcBorders>
              <w:top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0.77</w:t>
            </w: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10.88</w:t>
            </w:r>
          </w:p>
        </w:tc>
        <w:tc>
          <w:tcPr>
            <w:tcW w:w="80" w:type="dxa"/>
            <w:vAlign w:val="bottom"/>
            <w:tcBorders>
              <w:top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564.2</w:t>
            </w: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60" w:type="dxa"/>
            <w:vAlign w:val="bottom"/>
            <w:tcBorders>
              <w:top w:val="single" w:sz="8" w:color="CCEEFF"/>
            </w:tcBorders>
          </w:tcPr>
          <w:p>
            <w:pPr>
              <w:spacing w:after="0"/>
              <w:rPr>
                <w:sz w:val="16"/>
                <w:szCs w:val="16"/>
                <w:color w:val="auto"/>
              </w:rPr>
            </w:pPr>
          </w:p>
        </w:tc>
      </w:tr>
      <w:tr>
        <w:trPr>
          <w:trHeight w:val="186"/>
        </w:trPr>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06/01/25</w:t>
            </w:r>
          </w:p>
        </w:tc>
        <w:tc>
          <w:tcPr>
            <w:tcW w:w="6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ConnectOne Bancorp, Inc.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First of Long Island Corporation</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04/01/25</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Renasant Corporation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17,510</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The First Bancshares, Inc.</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7,966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8.33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0.95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8.14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0.25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1,176.9</w:t>
            </w: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184.0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02/28/25</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WesBanco, Inc.</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18,128</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Premier Financial Corp.</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07/12/24</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Eastern Bankshares, Inc.</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21,583</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Cambridge Bancorp</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5,490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0.84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9.08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0.13</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527.1</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114.5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11.1</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Atlantic Union Bankshares Corp.</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20,602</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American National Bankshares Inc.</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3,113</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02/29/24</w:t>
            </w:r>
          </w:p>
        </w:tc>
        <w:tc>
          <w:tcPr>
            <w:tcW w:w="6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5"/>
                <w:szCs w:val="15"/>
                <w:color w:val="auto"/>
              </w:rPr>
              <w:t>Washington Federal, Inc.</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20,772</w:t>
            </w:r>
          </w:p>
        </w:tc>
        <w:tc>
          <w:tcPr>
            <w:tcW w:w="4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Luther Burbank Corporation</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7,922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8.50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0.06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653.7</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97.0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7.3</w:t>
            </w:r>
          </w:p>
        </w:tc>
      </w:tr>
      <w:tr>
        <w:trPr>
          <w:trHeight w:val="186"/>
        </w:trPr>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03/01/22</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SouthState Corporation</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40,376</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Atlantic Capital Bancshares, Inc.</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6"/>
        </w:trPr>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01/01/22</w:t>
            </w:r>
          </w:p>
        </w:tc>
        <w:tc>
          <w:tcPr>
            <w:tcW w:w="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WSFS Financial Corporation</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14,334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Bryn Mawr Bank Corporation</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5,432</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989.9</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228.8</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60" w:type="dxa"/>
            <w:vAlign w:val="bottom"/>
          </w:tcPr>
          <w:p>
            <w:pPr>
              <w:spacing w:after="0"/>
              <w:rPr>
                <w:sz w:val="16"/>
                <w:szCs w:val="16"/>
                <w:color w:val="auto"/>
              </w:rPr>
            </w:pPr>
          </w:p>
        </w:tc>
      </w:tr>
    </w:tbl>
    <w:p>
      <w:pPr>
        <w:spacing w:after="0" w:line="168" w:lineRule="exact"/>
        <w:rPr>
          <w:sz w:val="20"/>
          <w:szCs w:val="20"/>
          <w:color w:val="auto"/>
        </w:rPr>
      </w:pPr>
    </w:p>
    <w:p>
      <w:pPr>
        <w:ind w:left="549" w:right="180" w:hanging="274"/>
        <w:spacing w:after="0" w:line="266" w:lineRule="auto"/>
        <w:tabs>
          <w:tab w:leader="none" w:pos="5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transaction metrics reflected in Performance Trust’s analysis were calculated directly from the transaction data set forth in the table above. For each metric (including Price/TBV and LTM EPS multiples), the values for all transactions in the group were ranked in ascending order, and the 25th percentile, median (50th percentile), and 75th percentile were determined using standard statistical interpolation across the ranked dataset. No transactions were excluded from the percentile calculations after the initial transaction group was established.</w:t>
      </w:r>
    </w:p>
    <w:p>
      <w:pPr>
        <w:spacing w:after="0" w:line="150" w:lineRule="exact"/>
        <w:rPr>
          <w:rFonts w:ascii="Times New Roman" w:cs="Times New Roman" w:eastAsia="Times New Roman" w:hAnsi="Times New Roman"/>
          <w:sz w:val="15"/>
          <w:szCs w:val="15"/>
          <w:color w:val="auto"/>
        </w:rPr>
      </w:pPr>
    </w:p>
    <w:p>
      <w:pPr>
        <w:ind w:left="549" w:right="280" w:hanging="274"/>
        <w:spacing w:after="0" w:line="289" w:lineRule="auto"/>
        <w:tabs>
          <w:tab w:leader="none" w:pos="54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transaction metrics set forth in the table above, which were selected using Performance Trust’s professional judgment as the most relevant indicators of relative valuation for the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8" w:name="page9"/>
    <w:bookmarkEnd w:id="8"/>
    <w:p>
      <w:pPr>
        <w:ind w:left="549" w:right="20" w:hanging="549"/>
        <w:spacing w:after="0" w:line="275" w:lineRule="auto"/>
        <w:tabs>
          <w:tab w:leader="none" w:pos="549" w:val="left"/>
        </w:tabs>
        <w:numPr>
          <w:ilvl w:val="0"/>
          <w:numId w:val="1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Advisor—Green Dot Dividend Discount Analysis” in the proxy statement/prospectus is hereby amended by (i) deleting the stricken-through last sentence of the first full paragraph and (ii) adding the following underlined language as a new paragraph following the first full paragraph, in each case, on page 157 of the proxy statement/prospectus:</w:t>
      </w:r>
    </w:p>
    <w:p>
      <w:pPr>
        <w:spacing w:after="0" w:line="143" w:lineRule="exact"/>
        <w:rPr>
          <w:sz w:val="20"/>
          <w:szCs w:val="20"/>
          <w:color w:val="auto"/>
        </w:rPr>
      </w:pPr>
    </w:p>
    <w:p>
      <w:pPr>
        <w:ind w:left="9" w:firstLine="549"/>
        <w:spacing w:after="0" w:line="258" w:lineRule="auto"/>
        <w:rPr>
          <w:sz w:val="20"/>
          <w:szCs w:val="20"/>
          <w:color w:val="auto"/>
        </w:rPr>
      </w:pPr>
      <w:r>
        <w:rPr>
          <w:rFonts w:ascii="Times New Roman" w:cs="Times New Roman" w:eastAsia="Times New Roman" w:hAnsi="Times New Roman"/>
          <w:sz w:val="15"/>
          <w:szCs w:val="15"/>
          <w:color w:val="auto"/>
        </w:rPr>
        <w:t xml:space="preserve">Performance Trust performed a standalone analysis that estimated the net present value of potential dividends that could be distributed to holders of Green Dot Common Stock during the period reflected in the Green Dot Projections and a terminal value per share for Green Dot. Performance Trust calculated the amount of such dividends by assuming (i) Green Dot performed in accordance with the Green Dot Projections and (ii) maintenance of a TCE/TA of 8.50% on a standalone basis (as selected by Performance Trust using its professional judgment and experience after taking into account the details of the Green Dot Merger and observed median ratios for the Green Dot peer groups based on public filings (see tables under Green Dot Comparable Selected Companies Analysis)). To derive an estimate of terminal value per share of Green Dot Common Stock at December 31, 2029, Performance Trust applied multiples of projected December 31, 2029 TBV ranging from 110% to 130% and projected terminal 2029E Price-to-Earnings (“P/E”) multiple ranging from 9.0x to 11.0x, based on the approximate median multiple for Green Dot comparable public companies. The terminal values and estimated dividends were then discounted to present values using discount rates ranging from 11.03% to 13.03%, which were selected using Performance Trust’s professional judgment and experience. </w:t>
      </w:r>
      <w:r>
        <w:rPr>
          <w:rFonts w:ascii="Times New Roman" w:cs="Times New Roman" w:eastAsia="Times New Roman" w:hAnsi="Times New Roman"/>
          <w:sz w:val="15"/>
          <w:szCs w:val="15"/>
          <w:color w:val="auto"/>
          <w:strike w:val="1"/>
        </w:rPr>
        <w:t>As illustrated in the following tables, the analysis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strike w:val="1"/>
        </w:rPr>
        <w:t>indicated a range of per share values of Green Dot Common Stock of $6.17 to $8.09 based on TBV multiple terminal value methodology and $9.03 to $12.13 based on P/E multiple terminal value methodology.</w:t>
      </w:r>
    </w:p>
    <w:p>
      <w:pPr>
        <w:spacing w:after="0" w:line="159" w:lineRule="exact"/>
        <w:rPr>
          <w:sz w:val="20"/>
          <w:szCs w:val="20"/>
          <w:color w:val="auto"/>
        </w:rPr>
      </w:pPr>
    </w:p>
    <w:p>
      <w:pPr>
        <w:ind w:left="9" w:right="60" w:firstLine="549"/>
        <w:spacing w:after="0" w:line="272" w:lineRule="auto"/>
        <w:rPr>
          <w:sz w:val="20"/>
          <w:szCs w:val="20"/>
          <w:color w:val="auto"/>
        </w:rPr>
      </w:pPr>
      <w:r>
        <w:rPr>
          <w:rFonts w:ascii="Times New Roman" w:cs="Times New Roman" w:eastAsia="Times New Roman" w:hAnsi="Times New Roman"/>
          <w:sz w:val="15"/>
          <w:szCs w:val="15"/>
          <w:u w:val="single" w:color="auto"/>
          <w:color w:val="auto"/>
        </w:rPr>
        <w:t>The terminal Price-to-Tangible Book Value and Price-to-Earnings multiples selected in the dividend discount model analysis were derived from, and are consistent with, the trading multiples observed across the selected group of publicly traded comparable companies as of the valuation date. This approach reflects standard valuation practices, under which terminal multiples are benchmarked to observable market data for companies with similar financial profiles, business characteristics, and risk attributes.</w:t>
      </w:r>
    </w:p>
    <w:p>
      <w:pPr>
        <w:spacing w:after="0" w:line="141" w:lineRule="exact"/>
        <w:rPr>
          <w:sz w:val="20"/>
          <w:szCs w:val="20"/>
          <w:color w:val="auto"/>
        </w:rPr>
      </w:pPr>
    </w:p>
    <w:p>
      <w:pPr>
        <w:ind w:left="549" w:right="160" w:hanging="549"/>
        <w:spacing w:after="0" w:line="275" w:lineRule="auto"/>
        <w:tabs>
          <w:tab w:leader="none" w:pos="549" w:val="left"/>
        </w:tabs>
        <w:numPr>
          <w:ilvl w:val="0"/>
          <w:numId w:val="19"/>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Advisor—CommerceOne Selected Companies Analysis” in the proxy statement/prospectus is hereby amended by replacing the previously included list of selected companies on page 157 of the proxy statement/prospectus with the following table and underlined language:</w:t>
      </w:r>
    </w:p>
    <w:p>
      <w:pPr>
        <w:spacing w:after="0" w:line="14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CommerceOne Selected Companies Analysis</w:t>
      </w:r>
      <w:r>
        <w:rPr>
          <w:rFonts w:ascii="Times New Roman" w:cs="Times New Roman" w:eastAsia="Times New Roman" w:hAnsi="Times New Roman"/>
          <w:sz w:val="25"/>
          <w:szCs w:val="25"/>
          <w:u w:val="single" w:color="auto"/>
          <w:color w:val="auto"/>
          <w:vertAlign w:val="superscript"/>
        </w:rPr>
        <w:t>(1)</w:t>
      </w:r>
      <w:r>
        <w:rPr>
          <w:rFonts w:ascii="Times New Roman" w:cs="Times New Roman" w:eastAsia="Times New Roman" w:hAnsi="Times New Roman"/>
          <w:sz w:val="15"/>
          <w:szCs w:val="15"/>
          <w:u w:val="single" w:color="auto"/>
          <w:color w:val="auto"/>
        </w:rPr>
        <w:t>:</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2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Institution</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5"/>
                <w:szCs w:val="15"/>
                <w:b w:val="1"/>
                <w:bCs w:val="1"/>
                <w:color w:val="auto"/>
              </w:rPr>
              <w:t>Key Financial Metrics</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Market Data</w:t>
            </w: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90-Day</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TCE /</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Effcy.</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NPAs /</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LTM</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2026E</w:t>
            </w:r>
          </w:p>
        </w:tc>
        <w:tc>
          <w:tcPr>
            <w:tcW w:w="4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ROAA</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ROAE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NIM</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Ratio</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Cap.</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Avg. Vol.</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TBV</w:t>
            </w:r>
          </w:p>
        </w:tc>
        <w:tc>
          <w:tcPr>
            <w:tcW w:w="60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93"/>
              </w:rPr>
              <w:t>EPS</w:t>
            </w:r>
            <w:r>
              <w:rPr>
                <w:rFonts w:ascii="Times New Roman" w:cs="Times New Roman" w:eastAsia="Times New Roman" w:hAnsi="Times New Roman"/>
                <w:sz w:val="25"/>
                <w:szCs w:val="25"/>
                <w:b w:val="1"/>
                <w:bCs w:val="1"/>
                <w:color w:val="auto"/>
                <w:w w:val="93"/>
                <w:vertAlign w:val="superscript"/>
              </w:rPr>
              <w:t>(2)</w:t>
            </w:r>
          </w:p>
        </w:tc>
        <w:tc>
          <w:tcPr>
            <w:tcW w:w="100" w:type="dxa"/>
            <w:vAlign w:val="bottom"/>
          </w:tcPr>
          <w:p>
            <w:pPr>
              <w:spacing w:after="0"/>
              <w:rPr>
                <w:sz w:val="19"/>
                <w:szCs w:val="19"/>
                <w:color w:val="auto"/>
              </w:rPr>
            </w:pPr>
          </w:p>
        </w:tc>
        <w:tc>
          <w:tcPr>
            <w:tcW w:w="60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89"/>
              </w:rPr>
              <w:t>EPS</w:t>
            </w:r>
            <w:r>
              <w:rPr>
                <w:rFonts w:ascii="Times New Roman" w:cs="Times New Roman" w:eastAsia="Times New Roman" w:hAnsi="Times New Roman"/>
                <w:sz w:val="25"/>
                <w:szCs w:val="25"/>
                <w:b w:val="1"/>
                <w:bCs w:val="1"/>
                <w:color w:val="auto"/>
                <w:w w:val="89"/>
                <w:vertAlign w:val="superscript"/>
              </w:rPr>
              <w:t>(2)</w:t>
            </w:r>
          </w:p>
        </w:tc>
        <w:tc>
          <w:tcPr>
            <w:tcW w:w="40" w:type="dxa"/>
            <w:vAlign w:val="bottom"/>
          </w:tcPr>
          <w:p>
            <w:pPr>
              <w:spacing w:after="0"/>
              <w:rPr>
                <w:sz w:val="19"/>
                <w:szCs w:val="19"/>
                <w:color w:val="auto"/>
              </w:rPr>
            </w:pPr>
          </w:p>
        </w:tc>
      </w:tr>
      <w:tr>
        <w:trPr>
          <w:trHeight w:val="183"/>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Company Name</w:t>
            </w: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5"/>
                <w:szCs w:val="15"/>
                <w:color w:val="auto"/>
              </w:rPr>
            </w:pPr>
          </w:p>
        </w:tc>
        <w:tc>
          <w:tcPr>
            <w:tcW w:w="5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(x)</w:t>
            </w:r>
          </w:p>
        </w:tc>
        <w:tc>
          <w:tcPr>
            <w:tcW w:w="40" w:type="dxa"/>
            <w:vAlign w:val="bottom"/>
          </w:tcPr>
          <w:p>
            <w:pPr>
              <w:spacing w:after="0"/>
              <w:rPr>
                <w:sz w:val="15"/>
                <w:szCs w:val="15"/>
                <w:color w:val="auto"/>
              </w:rPr>
            </w:pPr>
          </w:p>
        </w:tc>
      </w:tr>
      <w:tr>
        <w:trPr>
          <w:trHeight w:val="23"/>
        </w:trPr>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Bank7 Corp.</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1,891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396.4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16,366</w:t>
            </w:r>
          </w:p>
        </w:tc>
        <w:tc>
          <w:tcPr>
            <w:tcW w:w="1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172.5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National Bankshares,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193.1</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115.7</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Citizens Community Bancorp,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1,727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0.96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161.5</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27,031</w:t>
            </w:r>
          </w:p>
        </w:tc>
        <w:tc>
          <w:tcPr>
            <w:tcW w:w="10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106.5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9.4</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CB Financial Services,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119.1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Chain Bridge Bancorp,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1,534</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10.63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56.2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202.6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9,868</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124.2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7.6</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Riverview Bancorp,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56,841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w w:val="91"/>
              </w:rPr>
              <w:t>81.2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SB Financial Group,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7.35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133.1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17,355</w:t>
            </w:r>
          </w:p>
        </w:tc>
        <w:tc>
          <w:tcPr>
            <w:tcW w:w="100" w:type="dxa"/>
            <w:vAlign w:val="bottom"/>
          </w:tcPr>
          <w:p>
            <w:pPr>
              <w:spacing w:after="0"/>
              <w:rPr>
                <w:sz w:val="16"/>
                <w:szCs w:val="16"/>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123.5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GBank Financial Holdings Inc.</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12.16</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44,516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298.0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Provident Financial Holdings, Inc.</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1,231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4.63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78.4</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0.15</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7,438</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76.9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14.2</w:t>
            </w:r>
          </w:p>
        </w:tc>
      </w:tr>
      <w:tr>
        <w:trPr>
          <w:trHeight w:val="186"/>
        </w:trPr>
        <w:tc>
          <w:tcPr>
            <w:tcW w:w="20" w:type="dxa"/>
            <w:vAlign w:val="bottom"/>
            <w:tcBorders>
              <w:top w:val="single" w:sz="8" w:color="auto"/>
            </w:tcBorders>
          </w:tcPr>
          <w:p>
            <w:pPr>
              <w:spacing w:after="0"/>
              <w:rPr>
                <w:sz w:val="16"/>
                <w:szCs w:val="16"/>
                <w:color w:val="auto"/>
              </w:rPr>
            </w:pPr>
          </w:p>
        </w:tc>
        <w:tc>
          <w:tcPr>
            <w:tcW w:w="2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FinWise Bancorp</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w w:val="94"/>
              </w:rPr>
              <w:t>131.0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United Bancorp, Inc.</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868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7.48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17.61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57.6</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0.66</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3,862</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117.3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w:t>
            </w:r>
          </w:p>
        </w:tc>
      </w:tr>
      <w:tr>
        <w:trPr>
          <w:trHeight w:val="23"/>
        </w:trPr>
        <w:tc>
          <w:tcPr>
            <w:tcW w:w="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9" w:hanging="274"/>
        <w:spacing w:after="0"/>
        <w:tabs>
          <w:tab w:leader="none" w:pos="5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data as of or for the LTM period ended September 30, 2025 and recent market data as of November 21, 2025</w:t>
      </w:r>
    </w:p>
    <w:p>
      <w:pPr>
        <w:spacing w:after="0" w:line="193" w:lineRule="exact"/>
        <w:rPr>
          <w:rFonts w:ascii="Times New Roman" w:cs="Times New Roman" w:eastAsia="Times New Roman" w:hAnsi="Times New Roman"/>
          <w:sz w:val="15"/>
          <w:szCs w:val="15"/>
          <w:color w:val="auto"/>
        </w:rPr>
      </w:pPr>
    </w:p>
    <w:p>
      <w:pPr>
        <w:ind w:left="549" w:hanging="274"/>
        <w:spacing w:after="0"/>
        <w:tabs>
          <w:tab w:leader="none" w:pos="54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 multiples greater than 30.0x deemed not meaningful (“NM”)</w:t>
      </w:r>
    </w:p>
    <w:p>
      <w:pPr>
        <w:spacing w:after="0" w:line="193" w:lineRule="exact"/>
        <w:rPr>
          <w:sz w:val="20"/>
          <w:szCs w:val="20"/>
          <w:color w:val="auto"/>
        </w:rPr>
      </w:pPr>
    </w:p>
    <w:p>
      <w:pPr>
        <w:ind w:left="549" w:right="60" w:hanging="274"/>
        <w:spacing w:after="0" w:line="263" w:lineRule="auto"/>
        <w:tabs>
          <w:tab w:leader="none" w:pos="54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metrics reflected in Performance Trust’s analysis were calculated directly from the financial and market data for the selected companies set forth in the table above. For each metric, the values for all companies in the group were ranked in ascending order, and the 25th percentile, median (50th percentile), and 75th percentile were determined using standard statistical interpolation across the ranked dataset. For any metric where a selected company’s value was not meaningful ("NM"), that company was excluded from the percentile calculation for that metric only; all other metrics for that company were included in their respective calculations.</w:t>
      </w:r>
    </w:p>
    <w:p>
      <w:pPr>
        <w:spacing w:after="0" w:line="152" w:lineRule="exact"/>
        <w:rPr>
          <w:rFonts w:ascii="Times New Roman" w:cs="Times New Roman" w:eastAsia="Times New Roman" w:hAnsi="Times New Roman"/>
          <w:sz w:val="15"/>
          <w:szCs w:val="15"/>
          <w:color w:val="auto"/>
        </w:rPr>
      </w:pPr>
    </w:p>
    <w:p>
      <w:pPr>
        <w:ind w:left="549" w:right="140" w:hanging="274"/>
        <w:spacing w:after="0" w:line="289" w:lineRule="auto"/>
        <w:tabs>
          <w:tab w:leader="none" w:pos="54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market-based metrics set forth in the table above, which were selected using Performance Trust’s professional judgment as the most relevant indicators of relative valuation for the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9"/>
          </w:cols>
          <w:pgMar w:left="311" w:top="121" w:right="319" w:bottom="1440" w:gutter="0" w:footer="0" w:header="0"/>
        </w:sectPr>
      </w:pPr>
    </w:p>
    <w:bookmarkStart w:id="9" w:name="page10"/>
    <w:bookmarkEnd w:id="9"/>
    <w:p>
      <w:pPr>
        <w:jc w:val="both"/>
        <w:ind w:left="549" w:right="200" w:hanging="549"/>
        <w:spacing w:after="0" w:line="275" w:lineRule="auto"/>
        <w:tabs>
          <w:tab w:leader="none" w:pos="549" w:val="left"/>
        </w:tabs>
        <w:numPr>
          <w:ilvl w:val="0"/>
          <w:numId w:val="2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Mergers—Opinion of CommerceOne’s Financial Advisor—CommerceOne Comparable Selected Precedent Transactions” in the proxy statement/prospectus is hereby amended by replacing the previously included list of CommerceOne Selected Transactions group transactions on page 159 of the proxy statement/prospectus with the following table and underlined language:</w:t>
      </w:r>
    </w:p>
    <w:p>
      <w:pPr>
        <w:spacing w:after="0" w:line="14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CommerceOne Selected Transactions:</w:t>
      </w:r>
    </w:p>
    <w:p>
      <w:pPr>
        <w:spacing w:after="0" w:line="18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Buyer</w:t>
            </w: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bottom w:val="single" w:sz="8" w:color="auto"/>
            </w:tcBorders>
            <w:gridSpan w:val="6"/>
          </w:tcPr>
          <w:p>
            <w:pPr>
              <w:jc w:val="center"/>
              <w:ind w:left="584"/>
              <w:spacing w:after="0"/>
              <w:rPr>
                <w:sz w:val="20"/>
                <w:szCs w:val="20"/>
                <w:color w:val="auto"/>
              </w:rPr>
            </w:pPr>
            <w:r>
              <w:rPr>
                <w:rFonts w:ascii="Times New Roman" w:cs="Times New Roman" w:eastAsia="Times New Roman" w:hAnsi="Times New Roman"/>
                <w:sz w:val="15"/>
                <w:szCs w:val="15"/>
                <w:b w:val="1"/>
                <w:bCs w:val="1"/>
                <w:color w:val="auto"/>
              </w:rPr>
              <w:t>Transaction Details</w:t>
            </w:r>
          </w:p>
        </w:tc>
        <w:tc>
          <w:tcPr>
            <w:tcW w:w="6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4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TCE /</w:t>
            </w:r>
          </w:p>
        </w:tc>
        <w:tc>
          <w:tcPr>
            <w:tcW w:w="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LTM</w:t>
            </w:r>
          </w:p>
        </w:tc>
        <w:tc>
          <w:tcPr>
            <w:tcW w:w="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LTM</w:t>
            </w:r>
          </w:p>
        </w:tc>
        <w:tc>
          <w:tcPr>
            <w:tcW w:w="4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4"/>
              </w:rPr>
              <w:t>NPAs /</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40" w:type="dxa"/>
            <w:vAlign w:val="bottom"/>
          </w:tcPr>
          <w:p>
            <w:pPr>
              <w:spacing w:after="0"/>
              <w:rPr>
                <w:sz w:val="16"/>
                <w:szCs w:val="16"/>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Core Dep.</w:t>
            </w:r>
          </w:p>
        </w:tc>
        <w:tc>
          <w:tcPr>
            <w:tcW w:w="40" w:type="dxa"/>
            <w:vAlign w:val="bottom"/>
          </w:tcPr>
          <w:p>
            <w:pPr>
              <w:spacing w:after="0"/>
              <w:rPr>
                <w:sz w:val="16"/>
                <w:szCs w:val="16"/>
                <w:color w:val="auto"/>
              </w:rPr>
            </w:pPr>
          </w:p>
        </w:tc>
      </w:tr>
      <w:tr>
        <w:trPr>
          <w:trHeight w:val="220"/>
        </w:trPr>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Close</w:t>
            </w: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TA</w:t>
            </w:r>
          </w:p>
        </w:tc>
        <w:tc>
          <w:tcPr>
            <w:tcW w:w="1500" w:type="dxa"/>
            <w:vAlign w:val="bottom"/>
            <w:gridSpan w:val="6"/>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ROAA ROAE Assets</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40" w:type="dxa"/>
            <w:vAlign w:val="bottom"/>
          </w:tcPr>
          <w:p>
            <w:pPr>
              <w:spacing w:after="0"/>
              <w:rPr>
                <w:sz w:val="19"/>
                <w:szCs w:val="19"/>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TBV LTM EPS</w:t>
            </w:r>
          </w:p>
        </w:tc>
        <w:tc>
          <w:tcPr>
            <w:tcW w:w="660" w:type="dxa"/>
            <w:vAlign w:val="bottom"/>
          </w:tcPr>
          <w:p>
            <w:pPr>
              <w:jc w:val="center"/>
              <w:spacing w:after="0" w:line="217" w:lineRule="exact"/>
              <w:rPr>
                <w:sz w:val="20"/>
                <w:szCs w:val="20"/>
                <w:color w:val="auto"/>
              </w:rPr>
            </w:pPr>
            <w:r>
              <w:rPr>
                <w:rFonts w:ascii="Times New Roman" w:cs="Times New Roman" w:eastAsia="Times New Roman" w:hAnsi="Times New Roman"/>
                <w:sz w:val="15"/>
                <w:szCs w:val="15"/>
                <w:b w:val="1"/>
                <w:bCs w:val="1"/>
                <w:color w:val="auto"/>
                <w:w w:val="93"/>
              </w:rPr>
              <w:t xml:space="preserve">Prem. </w:t>
            </w:r>
            <w:r>
              <w:rPr>
                <w:rFonts w:ascii="Times New Roman" w:cs="Times New Roman" w:eastAsia="Times New Roman" w:hAnsi="Times New Roman"/>
                <w:sz w:val="25"/>
                <w:szCs w:val="25"/>
                <w:b w:val="1"/>
                <w:bCs w:val="1"/>
                <w:color w:val="auto"/>
                <w:w w:val="93"/>
                <w:vertAlign w:val="superscript"/>
              </w:rPr>
              <w:t>(1)</w:t>
            </w:r>
          </w:p>
        </w:tc>
        <w:tc>
          <w:tcPr>
            <w:tcW w:w="40" w:type="dxa"/>
            <w:vAlign w:val="bottom"/>
          </w:tcPr>
          <w:p>
            <w:pPr>
              <w:spacing w:after="0"/>
              <w:rPr>
                <w:sz w:val="19"/>
                <w:szCs w:val="19"/>
                <w:color w:val="auto"/>
              </w:rPr>
            </w:pPr>
          </w:p>
        </w:tc>
      </w:tr>
      <w:tr>
        <w:trPr>
          <w:trHeight w:val="186"/>
        </w:trPr>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MMs)</w:t>
            </w:r>
          </w:p>
        </w:tc>
        <w:tc>
          <w:tcPr>
            <w:tcW w:w="2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40" w:type="dxa"/>
            <w:vAlign w:val="bottom"/>
          </w:tcPr>
          <w:p>
            <w:pPr>
              <w:spacing w:after="0"/>
              <w:rPr>
                <w:sz w:val="16"/>
                <w:szCs w:val="16"/>
                <w:color w:val="auto"/>
              </w:rPr>
            </w:pPr>
          </w:p>
        </w:tc>
        <w:tc>
          <w:tcPr>
            <w:tcW w:w="4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c>
          <w:tcPr>
            <w:tcW w:w="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($MMs)</w:t>
            </w:r>
          </w:p>
        </w:tc>
        <w:tc>
          <w:tcPr>
            <w:tcW w:w="40" w:type="dxa"/>
            <w:vAlign w:val="bottom"/>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(x)</w:t>
            </w:r>
          </w:p>
        </w:tc>
        <w:tc>
          <w:tcPr>
            <w:tcW w:w="80" w:type="dxa"/>
            <w:vAlign w:val="bottom"/>
          </w:tcPr>
          <w:p>
            <w:pPr>
              <w:spacing w:after="0"/>
              <w:rPr>
                <w:sz w:val="16"/>
                <w:szCs w:val="16"/>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6"/>
                <w:szCs w:val="16"/>
                <w:color w:val="auto"/>
              </w:rPr>
            </w:pP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02/27/26</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Mid Penn Bancorp, Inc.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1st Colonial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0.82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99.1</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116.4</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12/31/25</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Mercantile Bank Corporation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6,181</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Eastern Michigan Financial Corporation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505</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15.13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0.24</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96.1</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165.4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9.7</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05/01/25</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Cadence Bank</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47,019</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FCB Financial Corp.</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1.20</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105.8</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174.3</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04/30/25</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Glacier Bancorp, Inc.</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27,903</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Bank of Idaho Holding Company</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1,328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9.46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11.08</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0.16</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246.2</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186.7</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12.5</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Central Valley Community Bancorp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Community West Bancshares</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0.09</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100.1</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04/01/24</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Prosperity Bancshares, Inc.</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37,844</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Lone Star State Bancshares,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1,305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9.35</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12.73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0.02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226.4</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187.0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40" w:type="dxa"/>
            <w:vAlign w:val="bottom"/>
          </w:tcPr>
          <w:p>
            <w:pPr>
              <w:spacing w:after="0"/>
              <w:rPr>
                <w:sz w:val="16"/>
                <w:szCs w:val="16"/>
                <w:color w:val="auto"/>
              </w:rPr>
            </w:pP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02/10/23</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Bank First Corporation</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2,961</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Hometown Bancorp, Ltd.</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0.22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123.9</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210.9</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08/26/22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Nicolet Bankshares,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7,695</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Charter Bankshares,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1,136</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10.47</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0.52</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158.0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169.9</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10/07/22</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Hometown Financial Group MHC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Randolph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0.48</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148.3</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136.9</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01/01/22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German American Bancorp,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5,349</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Citizens Union Bancorp of Shelbyville,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1,074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10.81</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0.67</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155.0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156.0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6.3</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11/30/21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Arbor Bancorp, Inc.</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2,561</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FNBH Bancorp, Inc.</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0.26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116.6</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175.7</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03/07/22</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 Yards Bancorp, Inc.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6,088</w:t>
            </w: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Commonwealth Bancshares, Inc.</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1,255</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14.43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0.35</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153.0</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166.8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01/07/22</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CVB Financial 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15,539</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Suncrest Bank</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0.36</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204.4</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151.0</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12/01/21</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Valley National Bancorp</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41,178</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Westchester Bank Holding Corp.</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1,313</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10.25</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0.21</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220.2</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169.0</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8.7</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11/01/21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Farmers National Banc Corp.</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Cortland Bancorp</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0.99</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124.0</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151.4</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6"/>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10/08/21</w:t>
            </w:r>
          </w:p>
        </w:tc>
        <w:tc>
          <w:tcPr>
            <w:tcW w:w="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Simmons First National Corporation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23,348</w:t>
            </w:r>
          </w:p>
        </w:tc>
        <w:tc>
          <w:tcPr>
            <w:tcW w:w="4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Landmark Community Bank</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1,007</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10.90</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0.66</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146.4</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143.4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8.0</w:t>
            </w:r>
          </w:p>
        </w:tc>
      </w:tr>
      <w:tr>
        <w:trPr>
          <w:trHeight w:val="186"/>
        </w:trPr>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08/06/21</w:t>
            </w:r>
          </w:p>
        </w:tc>
        <w:tc>
          <w:tcPr>
            <w:tcW w:w="4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Seacoast Banking Corporation of FL</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8,342</w:t>
            </w:r>
          </w:p>
        </w:tc>
        <w:tc>
          <w:tcPr>
            <w:tcW w:w="4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Legacy Bank of Florida</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w w:val="91"/>
              </w:rPr>
              <w:t>0.32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106.6</w:t>
            </w: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186.7</w:t>
            </w: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05/01/21</w:t>
            </w:r>
          </w:p>
        </w:tc>
        <w:tc>
          <w:tcPr>
            <w:tcW w:w="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BancorpSouth Bank</w:t>
            </w: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23,555</w:t>
            </w:r>
          </w:p>
        </w:tc>
        <w:tc>
          <w:tcPr>
            <w:tcW w:w="4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National United Bancshares, Inc.</w:t>
            </w: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4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9.99</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10.53</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1.17</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114.7</w:t>
            </w: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156.3</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w:t>
            </w:r>
          </w:p>
        </w:tc>
      </w:tr>
      <w:tr>
        <w:trPr>
          <w:trHeight w:val="23"/>
        </w:trPr>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9" w:hanging="274"/>
        <w:spacing w:after="0"/>
        <w:tabs>
          <w:tab w:leader="none" w:pos="54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Core deposits are defined as total deposits excluding certificated deposits greater than $100,000 and brokered deposits</w:t>
      </w:r>
    </w:p>
    <w:p>
      <w:pPr>
        <w:spacing w:after="0" w:line="193" w:lineRule="exact"/>
        <w:rPr>
          <w:sz w:val="20"/>
          <w:szCs w:val="20"/>
          <w:color w:val="auto"/>
        </w:rPr>
      </w:pPr>
    </w:p>
    <w:p>
      <w:pPr>
        <w:ind w:left="549" w:right="260" w:hanging="274"/>
        <w:spacing w:after="0" w:line="266" w:lineRule="auto"/>
        <w:tabs>
          <w:tab w:leader="none" w:pos="54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25th percentile, median (50th percentile), and 75th percentile transaction metrics reflected in Performance Trust’s analysis were calculated directly from the transaction data set forth in the table above. For each metric (including Price/TBV and LTM EPS multiples), the values for all transactions in the group were ranked in ascending order, and the 25th percentile, median (50th percentile), and 75th percentile were determined using standard statistical interpolation across the ranked dataset. No transactions were excluded from the percentile calculations after the initial transaction group was established.</w:t>
      </w:r>
    </w:p>
    <w:p>
      <w:pPr>
        <w:spacing w:after="0" w:line="150" w:lineRule="exact"/>
        <w:rPr>
          <w:rFonts w:ascii="Times New Roman" w:cs="Times New Roman" w:eastAsia="Times New Roman" w:hAnsi="Times New Roman"/>
          <w:sz w:val="15"/>
          <w:szCs w:val="15"/>
          <w:color w:val="auto"/>
        </w:rPr>
      </w:pPr>
    </w:p>
    <w:p>
      <w:pPr>
        <w:ind w:left="549" w:right="220" w:hanging="274"/>
        <w:spacing w:after="0" w:line="289" w:lineRule="auto"/>
        <w:tabs>
          <w:tab w:leader="none" w:pos="549"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Trust’s analysis was based on the metrics set forth in the table above, which were selected using Performance Trust’s professional judgment as the most relevant indicators of relative valuation for the selected transactions.</w:t>
      </w:r>
    </w:p>
    <w:p>
      <w:pPr>
        <w:spacing w:after="0" w:line="129" w:lineRule="exact"/>
        <w:rPr>
          <w:rFonts w:ascii="Times New Roman" w:cs="Times New Roman" w:eastAsia="Times New Roman" w:hAnsi="Times New Roman"/>
          <w:sz w:val="15"/>
          <w:szCs w:val="15"/>
          <w:color w:val="auto"/>
        </w:rPr>
      </w:pPr>
    </w:p>
    <w:p>
      <w:pPr>
        <w:jc w:val="both"/>
        <w:ind w:left="549" w:right="200" w:hanging="549"/>
        <w:spacing w:after="0" w:line="275" w:lineRule="auto"/>
        <w:tabs>
          <w:tab w:leader="none" w:pos="549" w:val="left"/>
        </w:tabs>
        <w:numPr>
          <w:ilvl w:val="0"/>
          <w:numId w:val="2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Mergers—Certain Unaudited Prospective Financial Information—Green Dot Prospective Financial Information Used by Citi” in the proxy statement/prospectus is hereby amended by adding “Total Assets” and “Total Deposits” of Green Dot for each of the financial years to the first table on page 164 of the proxy statement/prospectus:</w:t>
      </w:r>
    </w:p>
    <w:p>
      <w:pPr>
        <w:spacing w:after="0" w:line="139" w:lineRule="exact"/>
        <w:rPr>
          <w:sz w:val="20"/>
          <w:szCs w:val="20"/>
          <w:color w:val="auto"/>
        </w:rPr>
      </w:pPr>
    </w:p>
    <w:tbl>
      <w:tblPr>
        <w:tblLayout w:type="fixed"/>
        <w:tblInd w:w="9" w:type="dxa"/>
        <w:tblCellMar>
          <w:top w:w="0" w:type="dxa"/>
          <w:left w:w="0" w:type="dxa"/>
          <w:bottom w:w="0" w:type="dxa"/>
          <w:right w:w="0" w:type="dxa"/>
        </w:tblCellMar>
      </w:tblP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 except per</w:t>
            </w:r>
          </w:p>
        </w:tc>
        <w:tc>
          <w:tcPr>
            <w:tcW w:w="3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p>
        </w:tc>
        <w:tc>
          <w:tcPr>
            <w:tcW w:w="240" w:type="dxa"/>
            <w:vAlign w:val="bottom"/>
          </w:tcPr>
          <w:p>
            <w:pPr>
              <w:spacing w:after="0"/>
              <w:rPr>
                <w:sz w:val="17"/>
                <w:szCs w:val="17"/>
                <w:color w:val="auto"/>
              </w:rPr>
            </w:pP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2025E</w:t>
            </w:r>
          </w:p>
        </w:tc>
        <w:tc>
          <w:tcPr>
            <w:tcW w:w="200" w:type="dxa"/>
            <w:vAlign w:val="bottom"/>
          </w:tcPr>
          <w:p>
            <w:pPr>
              <w:jc w:val="right"/>
              <w:ind w:right="133"/>
              <w:spacing w:after="0"/>
              <w:rPr>
                <w:sz w:val="20"/>
                <w:szCs w:val="20"/>
                <w:color w:val="auto"/>
              </w:rPr>
            </w:pPr>
            <w:r>
              <w:rPr>
                <w:rFonts w:ascii="Times New Roman" w:cs="Times New Roman" w:eastAsia="Times New Roman" w:hAnsi="Times New Roman"/>
                <w:sz w:val="5"/>
                <w:szCs w:val="5"/>
                <w:color w:val="auto"/>
                <w:w w:val="78"/>
              </w:rPr>
              <w:t> </w:t>
            </w:r>
          </w:p>
        </w:tc>
        <w:tc>
          <w:tcPr>
            <w:tcW w:w="380" w:type="dxa"/>
            <w:vAlign w:val="bottom"/>
            <w:gridSpan w:val="2"/>
          </w:tcPr>
          <w:p>
            <w:pPr>
              <w:jc w:val="right"/>
              <w:ind w:right="264"/>
              <w:spacing w:after="0"/>
              <w:rPr>
                <w:sz w:val="20"/>
                <w:szCs w:val="20"/>
                <w:color w:val="auto"/>
              </w:rPr>
            </w:pPr>
            <w:r>
              <w:rPr>
                <w:rFonts w:ascii="Times New Roman" w:cs="Times New Roman" w:eastAsia="Times New Roman" w:hAnsi="Times New Roman"/>
                <w:sz w:val="5"/>
                <w:szCs w:val="5"/>
                <w:color w:val="auto"/>
                <w:w w:val="78"/>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2026E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4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2027E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w w:val="79"/>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2028E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w w:val="79"/>
              </w:rPr>
              <w:t> </w:t>
            </w:r>
          </w:p>
        </w:tc>
        <w:tc>
          <w:tcPr>
            <w:tcW w:w="88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2029E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440" w:type="dxa"/>
            <w:vAlign w:val="bottom"/>
            <w:gridSpan w:val="2"/>
          </w:tcPr>
          <w:p>
            <w:pPr>
              <w:jc w:val="right"/>
              <w:ind w:right="286"/>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2030E</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 </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2031E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share data)</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Total Assets</w:t>
            </w:r>
            <w:r>
              <w:rPr>
                <w:rFonts w:ascii="Times New Roman" w:cs="Times New Roman" w:eastAsia="Times New Roman" w:hAnsi="Times New Roman"/>
                <w:sz w:val="25"/>
                <w:szCs w:val="25"/>
                <w:color w:val="auto"/>
                <w:vertAlign w:val="superscript"/>
              </w:rPr>
              <w:t>(1)</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6,177</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6,669</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1660" w:type="dxa"/>
            <w:vAlign w:val="bottom"/>
          </w:tcPr>
          <w:p>
            <w:pPr>
              <w:spacing w:after="0" w:line="217" w:lineRule="exact"/>
              <w:rPr>
                <w:sz w:val="20"/>
                <w:szCs w:val="20"/>
                <w:color w:val="auto"/>
              </w:rPr>
            </w:pPr>
            <w:r>
              <w:rPr>
                <w:rFonts w:ascii="Times New Roman" w:cs="Times New Roman" w:eastAsia="Times New Roman" w:hAnsi="Times New Roman"/>
                <w:sz w:val="15"/>
                <w:szCs w:val="15"/>
                <w:color w:val="auto"/>
              </w:rPr>
              <w:t>Total Deposits</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4,607</w:t>
            </w:r>
          </w:p>
        </w:tc>
        <w:tc>
          <w:tcPr>
            <w:tcW w:w="80" w:type="dxa"/>
            <w:vAlign w:val="bottom"/>
          </w:tcPr>
          <w:p>
            <w:pPr>
              <w:spacing w:after="0"/>
              <w:rPr>
                <w:sz w:val="19"/>
                <w:szCs w:val="19"/>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4,933</w:t>
            </w:r>
          </w:p>
        </w:tc>
        <w:tc>
          <w:tcPr>
            <w:tcW w:w="80" w:type="dxa"/>
            <w:vAlign w:val="bottom"/>
          </w:tcPr>
          <w:p>
            <w:pPr>
              <w:spacing w:after="0"/>
              <w:rPr>
                <w:sz w:val="19"/>
                <w:szCs w:val="19"/>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5,031</w:t>
            </w:r>
          </w:p>
        </w:tc>
        <w:tc>
          <w:tcPr>
            <w:tcW w:w="80" w:type="dxa"/>
            <w:vAlign w:val="bottom"/>
          </w:tcPr>
          <w:p>
            <w:pPr>
              <w:spacing w:after="0"/>
              <w:rPr>
                <w:sz w:val="19"/>
                <w:szCs w:val="19"/>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5,484</w:t>
            </w:r>
          </w:p>
        </w:tc>
        <w:tc>
          <w:tcPr>
            <w:tcW w:w="80" w:type="dxa"/>
            <w:vAlign w:val="bottom"/>
          </w:tcPr>
          <w:p>
            <w:pPr>
              <w:spacing w:after="0"/>
              <w:rPr>
                <w:sz w:val="19"/>
                <w:szCs w:val="19"/>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Revenue</w:t>
            </w:r>
          </w:p>
        </w:tc>
        <w:tc>
          <w:tcPr>
            <w:tcW w:w="30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113"/>
              <w:spacing w:after="0"/>
              <w:rPr>
                <w:sz w:val="20"/>
                <w:szCs w:val="20"/>
                <w:color w:val="auto"/>
              </w:rPr>
            </w:pPr>
            <w:r>
              <w:rPr>
                <w:rFonts w:ascii="Times New Roman" w:cs="Times New Roman" w:eastAsia="Times New Roman" w:hAnsi="Times New Roman"/>
                <w:sz w:val="15"/>
                <w:szCs w:val="15"/>
                <w:color w:val="auto"/>
              </w:rPr>
              <w:t>(68)</w:t>
            </w: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5"/>
                <w:szCs w:val="15"/>
                <w:color w:val="auto"/>
              </w:rPr>
            </w:pP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5"/>
                <w:szCs w:val="15"/>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5"/>
                <w:szCs w:val="15"/>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tcPr>
          <w:p>
            <w:pPr>
              <w:spacing w:after="0"/>
              <w:rPr>
                <w:sz w:val="15"/>
                <w:szCs w:val="15"/>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5"/>
                <w:szCs w:val="15"/>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Tangible Book Value</w:t>
            </w:r>
            <w:r>
              <w:rPr>
                <w:rFonts w:ascii="Times New Roman" w:cs="Times New Roman" w:eastAsia="Times New Roman" w:hAnsi="Times New Roman"/>
                <w:sz w:val="25"/>
                <w:szCs w:val="25"/>
                <w:color w:val="auto"/>
                <w:vertAlign w:val="superscript"/>
              </w:rPr>
              <w:t>(1)</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Adjusted Earnings per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ind w:left="80"/>
              <w:spacing w:after="0" w:line="230" w:lineRule="exact"/>
              <w:rPr>
                <w:sz w:val="20"/>
                <w:szCs w:val="20"/>
                <w:color w:val="auto"/>
              </w:rPr>
            </w:pPr>
            <w:r>
              <w:rPr>
                <w:rFonts w:ascii="Times New Roman" w:cs="Times New Roman" w:eastAsia="Times New Roman" w:hAnsi="Times New Roman"/>
                <w:sz w:val="15"/>
                <w:szCs w:val="15"/>
                <w:color w:val="auto"/>
              </w:rPr>
              <w:t>Share</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20"/>
                <w:szCs w:val="20"/>
                <w:color w:val="auto"/>
              </w:rPr>
            </w:pPr>
          </w:p>
        </w:tc>
        <w:tc>
          <w:tcPr>
            <w:tcW w:w="38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0" w:type="dxa"/>
            <w:vAlign w:val="bottom"/>
          </w:tcPr>
          <w:p>
            <w:pPr>
              <w:spacing w:after="0"/>
              <w:rPr>
                <w:sz w:val="20"/>
                <w:szCs w:val="20"/>
                <w:color w:val="auto"/>
              </w:rPr>
            </w:pP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20"/>
                <w:szCs w:val="20"/>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20"/>
                <w:szCs w:val="20"/>
                <w:color w:val="auto"/>
              </w:rPr>
            </w:pP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80" w:type="dxa"/>
            <w:vAlign w:val="bottom"/>
          </w:tcPr>
          <w:p>
            <w:pPr>
              <w:spacing w:after="0"/>
              <w:rPr>
                <w:sz w:val="20"/>
                <w:szCs w:val="20"/>
                <w:color w:val="auto"/>
              </w:rPr>
            </w:pPr>
          </w:p>
        </w:tc>
        <w:tc>
          <w:tcPr>
            <w:tcW w:w="440" w:type="dxa"/>
            <w:vAlign w:val="bottom"/>
            <w:gridSpan w:val="2"/>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80" w:type="dxa"/>
            <w:vAlign w:val="bottom"/>
          </w:tcPr>
          <w:p>
            <w:pPr>
              <w:spacing w:after="0"/>
              <w:rPr>
                <w:sz w:val="20"/>
                <w:szCs w:val="20"/>
                <w:color w:val="auto"/>
              </w:rPr>
            </w:pP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Hypothetical Dividends</w:t>
            </w:r>
            <w:r>
              <w:rPr>
                <w:rFonts w:ascii="Times New Roman" w:cs="Times New Roman" w:eastAsia="Times New Roman" w:hAnsi="Times New Roman"/>
                <w:sz w:val="25"/>
                <w:szCs w:val="25"/>
                <w:color w:val="auto"/>
                <w:vertAlign w:val="superscript"/>
              </w:rPr>
              <w:t>(3)</w:t>
            </w: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spacing w:after="0" w:line="217" w:lineRule="exact"/>
              <w:rPr>
                <w:sz w:val="20"/>
                <w:szCs w:val="20"/>
                <w:color w:val="auto"/>
              </w:rPr>
            </w:pPr>
            <w:r>
              <w:rPr>
                <w:rFonts w:ascii="Times New Roman" w:cs="Times New Roman" w:eastAsia="Times New Roman" w:hAnsi="Times New Roman"/>
                <w:sz w:val="15"/>
                <w:szCs w:val="15"/>
                <w:color w:val="auto"/>
              </w:rPr>
              <w:t>(30)</w:t>
            </w:r>
            <w:r>
              <w:rPr>
                <w:rFonts w:ascii="Times New Roman" w:cs="Times New Roman" w:eastAsia="Times New Roman" w:hAnsi="Times New Roman"/>
                <w:sz w:val="25"/>
                <w:szCs w:val="25"/>
                <w:color w:val="auto"/>
                <w:vertAlign w:val="superscript"/>
              </w:rPr>
              <w:t>(4)</w:t>
            </w:r>
          </w:p>
        </w:tc>
        <w:tc>
          <w:tcPr>
            <w:tcW w:w="3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year-end of applicable calendar year.</w:t>
      </w:r>
    </w:p>
    <w:p>
      <w:pPr>
        <w:spacing w:after="0" w:line="19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for one-time non-recurring items, acquired intangibles amortization expense and equity losses from unconsolidated affiliates.</w:t>
      </w:r>
    </w:p>
    <w:p>
      <w:pPr>
        <w:spacing w:after="0" w:line="193" w:lineRule="exact"/>
        <w:rPr>
          <w:rFonts w:ascii="Times New Roman" w:cs="Times New Roman" w:eastAsia="Times New Roman" w:hAnsi="Times New Roman"/>
          <w:sz w:val="15"/>
          <w:szCs w:val="15"/>
          <w:color w:val="auto"/>
        </w:rPr>
      </w:pPr>
    </w:p>
    <w:p>
      <w:pPr>
        <w:ind w:left="269" w:right="100" w:hanging="269"/>
        <w:spacing w:after="0" w:line="289" w:lineRule="auto"/>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hypothetical dividends assuming all excess tier 1 capital would be distributed to Green Dot stockholders, with excess tier 1 capital calculated based on target tier 1 leverage ratio of 14.3% for the fourth quarter of 2025 and 15.0% for 2026 to 2031.</w:t>
      </w:r>
    </w:p>
    <w:p>
      <w:pPr>
        <w:spacing w:after="0" w:line="1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figure for fourth quarter of 2025.</w:t>
      </w:r>
    </w:p>
    <w:p>
      <w:pPr>
        <w:spacing w:after="0" w:line="189" w:lineRule="exact"/>
        <w:rPr>
          <w:sz w:val="20"/>
          <w:szCs w:val="20"/>
          <w:color w:val="auto"/>
        </w:rPr>
      </w:pPr>
    </w:p>
    <w:p>
      <w:pPr>
        <w:ind w:left="549" w:right="140" w:hanging="549"/>
        <w:spacing w:after="0" w:line="275" w:lineRule="auto"/>
        <w:tabs>
          <w:tab w:leader="none" w:pos="549" w:val="left"/>
        </w:tabs>
        <w:numPr>
          <w:ilvl w:val="0"/>
          <w:numId w:val="2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The disclosure under the section entitled “The Mergers—Certain Unaudited Prospective Financial Information—Adjusted Combined Company Projections” in the proxy statement/prospectus is hereby amended by adding “Total Assets” and “Total Deposits” of the Combined Company for each of the financial years to the second table on page 165 of the proxy statement/prospectus:</w:t>
      </w:r>
    </w:p>
    <w:p>
      <w:pPr>
        <w:spacing w:after="0" w:line="139" w:lineRule="exact"/>
        <w:rPr>
          <w:sz w:val="20"/>
          <w:szCs w:val="20"/>
          <w:color w:val="auto"/>
        </w:rPr>
      </w:pPr>
    </w:p>
    <w:tbl>
      <w:tblPr>
        <w:tblLayout w:type="fixed"/>
        <w:tblInd w:w="9"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 except per share data)</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2026E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2027E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2028E</w:t>
            </w:r>
          </w:p>
        </w:tc>
        <w:tc>
          <w:tcPr>
            <w:tcW w:w="160" w:type="dxa"/>
            <w:vAlign w:val="bottom"/>
          </w:tcPr>
          <w:p>
            <w:pPr>
              <w:jc w:val="right"/>
              <w:ind w:right="60"/>
              <w:spacing w:after="0"/>
              <w:rPr>
                <w:sz w:val="20"/>
                <w:szCs w:val="20"/>
                <w:color w:val="auto"/>
              </w:rPr>
            </w:pPr>
            <w:r>
              <w:rPr>
                <w:rFonts w:ascii="Times New Roman" w:cs="Times New Roman" w:eastAsia="Times New Roman" w:hAnsi="Times New Roman"/>
                <w:sz w:val="5"/>
                <w:szCs w:val="5"/>
                <w:color w:val="auto"/>
                <w:w w:val="78"/>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2029E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2030E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2031E</w:t>
            </w:r>
          </w:p>
        </w:tc>
      </w:tr>
      <w:tr>
        <w:trPr>
          <w:trHeight w:val="220"/>
        </w:trPr>
        <w:tc>
          <w:tcPr>
            <w:tcW w:w="20" w:type="dxa"/>
            <w:vAlign w:val="bottom"/>
            <w:tcBorders>
              <w:top w:val="single" w:sz="8" w:color="auto"/>
            </w:tcBorders>
          </w:tcPr>
          <w:p>
            <w:pPr>
              <w:spacing w:after="0"/>
              <w:rPr>
                <w:sz w:val="19"/>
                <w:szCs w:val="19"/>
                <w:color w:val="auto"/>
              </w:rPr>
            </w:pPr>
          </w:p>
        </w:tc>
        <w:tc>
          <w:tcPr>
            <w:tcW w:w="4940" w:type="dxa"/>
            <w:vAlign w:val="bottom"/>
            <w:tcBorders>
              <w:top w:val="single" w:sz="8" w:color="auto"/>
              <w:bottom w:val="single" w:sz="8" w:color="auto"/>
            </w:tcBorders>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Total Assets</w:t>
            </w:r>
            <w:r>
              <w:rPr>
                <w:rFonts w:ascii="Times New Roman" w:cs="Times New Roman" w:eastAsia="Times New Roman" w:hAnsi="Times New Roman"/>
                <w:sz w:val="25"/>
                <w:szCs w:val="25"/>
                <w:color w:val="auto"/>
                <w:vertAlign w:val="superscript"/>
              </w:rPr>
              <w:t>(1)</w:t>
            </w:r>
          </w:p>
        </w:tc>
        <w:tc>
          <w:tcPr>
            <w:tcW w:w="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6,243</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7,871</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9,094</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10,265</w:t>
            </w:r>
          </w:p>
        </w:tc>
        <w:tc>
          <w:tcPr>
            <w:tcW w:w="2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line="217" w:lineRule="exact"/>
              <w:rPr>
                <w:sz w:val="20"/>
                <w:szCs w:val="20"/>
                <w:color w:val="auto"/>
              </w:rPr>
            </w:pPr>
            <w:r>
              <w:rPr>
                <w:rFonts w:ascii="Times New Roman" w:cs="Times New Roman" w:eastAsia="Times New Roman" w:hAnsi="Times New Roman"/>
                <w:sz w:val="15"/>
                <w:szCs w:val="15"/>
                <w:color w:val="auto"/>
              </w:rPr>
              <w:t>Total Deposits</w:t>
            </w:r>
            <w:r>
              <w:rPr>
                <w:rFonts w:ascii="Times New Roman" w:cs="Times New Roman" w:eastAsia="Times New Roman" w:hAnsi="Times New Roman"/>
                <w:sz w:val="25"/>
                <w:szCs w:val="25"/>
                <w:color w:val="auto"/>
                <w:vertAlign w:val="superscript"/>
              </w:rPr>
              <w:t>(1)</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5,491</w:t>
            </w:r>
          </w:p>
        </w:tc>
        <w:tc>
          <w:tcPr>
            <w:tcW w:w="160" w:type="dxa"/>
            <w:vAlign w:val="bottom"/>
          </w:tcPr>
          <w:p>
            <w:pPr>
              <w:spacing w:after="0"/>
              <w:rPr>
                <w:sz w:val="19"/>
                <w:szCs w:val="19"/>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5,765</w:t>
            </w:r>
          </w:p>
        </w:tc>
        <w:tc>
          <w:tcPr>
            <w:tcW w:w="14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6,967</w:t>
            </w:r>
          </w:p>
        </w:tc>
        <w:tc>
          <w:tcPr>
            <w:tcW w:w="16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8,069</w:t>
            </w:r>
          </w:p>
        </w:tc>
        <w:tc>
          <w:tcPr>
            <w:tcW w:w="14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8,674</w:t>
            </w:r>
          </w:p>
        </w:tc>
        <w:tc>
          <w:tcPr>
            <w:tcW w:w="14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9,108</w:t>
            </w:r>
          </w:p>
        </w:tc>
      </w:tr>
      <w:tr>
        <w:trPr>
          <w:trHeight w:val="183"/>
        </w:trPr>
        <w:tc>
          <w:tcPr>
            <w:tcW w:w="20" w:type="dxa"/>
            <w:vAlign w:val="bottom"/>
            <w:tcBorders>
              <w:top w:val="single" w:sz="8" w:color="auto"/>
            </w:tcBorders>
          </w:tcPr>
          <w:p>
            <w:pPr>
              <w:spacing w:after="0"/>
              <w:rPr>
                <w:sz w:val="15"/>
                <w:szCs w:val="15"/>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Consolidated Net Income</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4940" w:type="dxa"/>
            <w:vAlign w:val="bottom"/>
          </w:tcPr>
          <w:p>
            <w:pPr>
              <w:spacing w:after="0" w:line="217" w:lineRule="exact"/>
              <w:rPr>
                <w:sz w:val="20"/>
                <w:szCs w:val="20"/>
                <w:color w:val="auto"/>
              </w:rPr>
            </w:pPr>
            <w:r>
              <w:rPr>
                <w:rFonts w:ascii="Times New Roman" w:cs="Times New Roman" w:eastAsia="Times New Roman" w:hAnsi="Times New Roman"/>
                <w:sz w:val="15"/>
                <w:szCs w:val="15"/>
                <w:color w:val="auto"/>
              </w:rPr>
              <w:t>Tangible Book Value</w:t>
            </w:r>
            <w:r>
              <w:rPr>
                <w:rFonts w:ascii="Times New Roman" w:cs="Times New Roman" w:eastAsia="Times New Roman" w:hAnsi="Times New Roman"/>
                <w:sz w:val="25"/>
                <w:szCs w:val="25"/>
                <w:color w:val="auto"/>
                <w:vertAlign w:val="superscript"/>
              </w:rPr>
              <w:t>(1)</w:t>
            </w:r>
          </w:p>
        </w:tc>
        <w:tc>
          <w:tcPr>
            <w:tcW w:w="3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1,039</w:t>
            </w: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spacing w:after="0" w:line="217" w:lineRule="exact"/>
              <w:rPr>
                <w:sz w:val="20"/>
                <w:szCs w:val="20"/>
                <w:color w:val="auto"/>
              </w:rPr>
            </w:pPr>
            <w:r>
              <w:rPr>
                <w:rFonts w:ascii="Times New Roman" w:cs="Times New Roman" w:eastAsia="Times New Roman" w:hAnsi="Times New Roman"/>
                <w:sz w:val="15"/>
                <w:szCs w:val="15"/>
                <w:color w:val="auto"/>
              </w:rPr>
              <w:t>Hypothetical Dividends</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 xml:space="preserve">(28)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 xml:space="preserve">$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 w:type="dxa"/>
            <w:vAlign w:val="bottom"/>
          </w:tcPr>
          <w:p>
            <w:pPr>
              <w:spacing w:after="0"/>
              <w:rPr>
                <w:sz w:val="18"/>
                <w:szCs w:val="18"/>
                <w:color w:val="auto"/>
              </w:rPr>
            </w:pPr>
          </w:p>
        </w:tc>
      </w:tr>
    </w:tbl>
    <w:p>
      <w:pPr>
        <w:spacing w:after="0" w:line="168" w:lineRule="exact"/>
        <w:rPr>
          <w:sz w:val="20"/>
          <w:szCs w:val="20"/>
          <w:color w:val="auto"/>
        </w:rPr>
      </w:pPr>
    </w:p>
    <w:p>
      <w:pPr>
        <w:ind w:left="269" w:hanging="269"/>
        <w:spacing w:after="0"/>
        <w:tabs>
          <w:tab w:leader="none" w:pos="26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year-end of applicable calendar year.</w:t>
      </w:r>
    </w:p>
    <w:p>
      <w:pPr>
        <w:spacing w:after="0" w:line="193" w:lineRule="exact"/>
        <w:rPr>
          <w:rFonts w:ascii="Times New Roman" w:cs="Times New Roman" w:eastAsia="Times New Roman" w:hAnsi="Times New Roman"/>
          <w:sz w:val="15"/>
          <w:szCs w:val="15"/>
          <w:color w:val="auto"/>
        </w:rPr>
      </w:pPr>
    </w:p>
    <w:p>
      <w:pPr>
        <w:ind w:left="269" w:right="280" w:hanging="269"/>
        <w:spacing w:after="0" w:line="289" w:lineRule="auto"/>
        <w:tabs>
          <w:tab w:leader="none" w:pos="26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represent the hypothetical dividends assuming all excess tangible common equity would be distributed to Green Dot stockholders, with excess tangible common equity calculated based on a target common equity to tangible assets ratio of 8.75% from 2027 to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349"/>
          </w:cols>
          <w:pgMar w:left="311" w:top="121" w:right="239" w:bottom="843"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t>Cautionary Notes on Forward-Looking Statements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5"/>
          <w:szCs w:val="15"/>
          <w:color w:val="auto"/>
        </w:rPr>
        <w:t>This Current Report on Form 8-K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CommerceOne, and OpCo,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Current Report on Form 8-K.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OpCo, including the failure to obtain the necessary approvals by the stockholders of Green Dot or CommerceOne, (5) the amount of the costs, fees, expenses and charges related to the transactions, (6) the ability by each of Green Dot, CommerceOne and OpCo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Additional factors which could affect future results of Green Dot can be found in Green Dot’s filings with the Securities and Exchange Commission (the “SEC”),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and OpCo do not assume any obligation to update any forward-looking statements as a result of new information, future developments or otherwise, except as otherwise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5327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t>Additional Information about the Transaction and Where to Find It</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New CommerceOne filed a registration statement on Form S-4 (File No. 333-293326) with the SEC on February 10, 2026, as amended on April 7, 2026, May 1, 2026 and May 7, 2026 to register the shares of New CommerceOne common stock that will be issued to CommerceOne stockholders and Green Dot stockholders in connection with the proposed transactions. The registration statement includes a proxy statement of Green Dot and CommerceOne that also constitutes a prospectus of New CommerceOne. The registration statement was declared effective on May 8, 2026, at which time Green Dot filed a definitive proxy statement and New CommerceOne filed a final prospectus. Green Dot and CommerceOne each commenced mailing of the proxy statement/prospectus to their respective stockholders on or about May 15, 2026. INVESTORS AND SECURITY HOLDERS ARE URGED TO READ THE REGISTRATION STATEMENT AND PROXY STATEMENT/PROSPECTUS (AND ANY OTHER DOCUMENTS FILED WITH THE SEC IN CONNECTION WITH THE PROPOSED TRANSACTIONS OR INCORPORATED BY REFERENCE INTO THE PROXY STATEMENT/PROSPECTUS) BECAUSE SUCH DOCUMENTS CONTAIN OR WILL CONTAIN IMPORTANT INFORMATION REGARDING THE PROPOSED TRANSACTIONS AND RELATED MATTERS.</w:t>
      </w:r>
    </w:p>
    <w:p>
      <w:pPr>
        <w:spacing w:after="0" w:line="15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Investors and security holders may obtain free copies of these documents and other documents filed with the SEC by Green Dot or New CommerceOne through the website maintained by the SEC at http://www.sec.gov. Documents filed with the SEC by Green Dot will also be available free of charge by contacting the investor relations department of Green Dot at IR@greendot.com or by clicking on “Financial Information” in the Investor Relations section of Green Dot's website at http://ir.greendot.com/.</w:t>
      </w:r>
    </w:p>
    <w:p>
      <w:pPr>
        <w:spacing w:after="0" w:line="14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color w:val="auto"/>
        </w:rPr>
        <w:t>Before making any voting or investment decision, investors and security holders of Green Dot and CommerceOne are urged to read carefully the entire registration statement and proxy statement/prospectus, including any amendments thereto, because they contain or will contain important information about the proposed transactions. Free copies of these documents may be obtained as described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1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Green Dot and CommerceOne and certain of their respective directors and executive officers and other members of management and employees may be deemed to be participants in the solicitation of proxies from Green Dot’s stockholders in respect of the proposed transactions under the rules of the SEC. Information about the directors and executive officers of Green Dot and CommerceOne is included in the registration statement. Information regarding Green Dot’s directors and executive officers is also available in Green Dot’s Amendment No. 1 to the Annual Report on Form 10-K for the year ended December 31, 2025 (the “Green Dot 10-K/A”), which was filed with the SEC on April 30, 2026, and in other documents subsequently filed by Green Dot with the SEC, which can be obtained free of charge through the website maintained by the SEC at http://www.sec.gov. Any changes in the holdings of Green Dot’s securities by Green Dot’s directors or executive officers from the amounts described in the Green Dot 10-K/A have been or will be reflected on Initial Statements of Beneficial Ownership of Securities on Form 3 or on Statements of Change in Ownership on Form 4 filed with the SEC subsequent to the filing date of the Green Dot 10-K/A and are available at the SEC’s website at www.sec.gov.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 Offer or Solicitation</w:t>
      </w:r>
    </w:p>
    <w:p>
      <w:pPr>
        <w:spacing w:after="0" w:line="19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5"/>
          <w:szCs w:val="15"/>
          <w:color w:val="auto"/>
        </w:rPr>
        <w:t>This Current Report on Form 8-K relates to the proposed transactions and is for informational purposes only and is not intended to,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7" w:lineRule="exact"/>
        <w:rPr>
          <w:sz w:val="20"/>
          <w:szCs w:val="20"/>
          <w:color w:val="auto"/>
        </w:rPr>
      </w:pPr>
    </w:p>
    <w:p>
      <w:pPr>
        <w:ind w:firstLine="549"/>
        <w:spacing w:after="0" w:line="26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5"/>
          <w:szCs w:val="15"/>
          <w:b w:val="1"/>
          <w:bCs w:val="1"/>
          <w:color w:val="auto"/>
        </w:rPr>
        <w:t>GREEN DOT CORPORATION</w:t>
      </w:r>
    </w:p>
    <w:p>
      <w:pPr>
        <w:spacing w:after="0" w:line="179" w:lineRule="exact"/>
        <w:rPr>
          <w:sz w:val="20"/>
          <w:szCs w:val="20"/>
          <w:color w:val="auto"/>
        </w:rPr>
      </w:pPr>
    </w:p>
    <w:p>
      <w:pPr>
        <w:spacing w:after="0"/>
        <w:tabs>
          <w:tab w:leader="none" w:pos="5380" w:val="left"/>
          <w:tab w:leader="none" w:pos="5820" w:val="left"/>
        </w:tabs>
        <w:rPr>
          <w:sz w:val="20"/>
          <w:szCs w:val="20"/>
          <w:color w:val="auto"/>
        </w:rPr>
      </w:pPr>
      <w:r>
        <w:rPr>
          <w:rFonts w:ascii="Times New Roman" w:cs="Times New Roman" w:eastAsia="Times New Roman" w:hAnsi="Times New Roman"/>
          <w:sz w:val="15"/>
          <w:szCs w:val="15"/>
          <w:color w:val="auto"/>
        </w:rPr>
        <w:t>Date: June 16, 2026</w:t>
      </w:r>
      <w:r>
        <w:rPr>
          <w:sz w:val="20"/>
          <w:szCs w:val="20"/>
          <w:color w:val="auto"/>
        </w:rPr>
        <w:tab/>
      </w:r>
      <w:r>
        <w:rPr>
          <w:rFonts w:ascii="Times New Roman" w:cs="Times New Roman" w:eastAsia="Times New Roman" w:hAnsi="Times New Roman"/>
          <w:sz w:val="15"/>
          <w:szCs w:val="15"/>
          <w:color w:val="auto"/>
        </w:rPr>
        <w:t>By:</w:t>
        <w:tab/>
        <w:t>/s/ Amy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15875</wp:posOffset>
            </wp:positionV>
            <wp:extent cx="343471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4715" cy="14605"/>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Amy Pugh</w:t>
      </w:r>
    </w:p>
    <w:p>
      <w:pPr>
        <w:spacing w:after="0" w:line="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sectPr>
      <w:pgSz w:w="11900" w:h="16838" w:orient="portrait"/>
      <w:cols w:equalWidth="0" w:num="1">
        <w:col w:w="10900"/>
      </w:cols>
      <w:pgMar w:left="32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o"/>
      <w:numFmt w:val="bullet"/>
      <w:start w:val="1"/>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o"/>
      <w:numFmt w:val="bullet"/>
      <w:start w:val="1"/>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5"/>
    </w:lvl>
    <w:lvl w:ilvl="1">
      <w:lvlJc w:val="left"/>
      <w:lvlText w:val="o"/>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7"/>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2026-06-16T07:41:04Z</dcterms:created>
  <dcterms:modified xsi:type="dcterms:W3CDTF">2026-06-16T07:41:04Z</dcterms:modified>
</cp:coreProperties>
</file>